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FB" w:rsidRDefault="005C5EFB">
      <w:pPr>
        <w:pBdr>
          <w:top w:val="nil"/>
          <w:left w:val="nil"/>
          <w:bottom w:val="nil"/>
          <w:right w:val="nil"/>
          <w:between w:val="nil"/>
        </w:pBdr>
        <w:spacing w:line="276" w:lineRule="auto"/>
        <w:rPr>
          <w:rFonts w:ascii="Arial" w:eastAsia="Arial" w:hAnsi="Arial" w:cs="Arial"/>
          <w:color w:val="000000"/>
          <w:sz w:val="22"/>
          <w:szCs w:val="22"/>
        </w:rPr>
      </w:pPr>
    </w:p>
    <w:tbl>
      <w:tblPr>
        <w:tblStyle w:val="a"/>
        <w:tblW w:w="9570" w:type="dxa"/>
        <w:tblBorders>
          <w:top w:val="nil"/>
          <w:left w:val="nil"/>
          <w:bottom w:val="nil"/>
          <w:right w:val="nil"/>
          <w:insideH w:val="nil"/>
          <w:insideV w:val="nil"/>
        </w:tblBorders>
        <w:tblLayout w:type="fixed"/>
        <w:tblLook w:val="0400" w:firstRow="0" w:lastRow="0" w:firstColumn="0" w:lastColumn="0" w:noHBand="0" w:noVBand="1"/>
      </w:tblPr>
      <w:tblGrid>
        <w:gridCol w:w="3170"/>
        <w:gridCol w:w="2750"/>
        <w:gridCol w:w="3650"/>
      </w:tblGrid>
      <w:tr w:rsidR="005C5EFB" w:rsidTr="00763EE0">
        <w:tc>
          <w:tcPr>
            <w:tcW w:w="3170" w:type="dxa"/>
          </w:tcPr>
          <w:p w:rsidR="005C5EFB" w:rsidRDefault="005C5EFB">
            <w:pPr>
              <w:tabs>
                <w:tab w:val="left" w:pos="284"/>
                <w:tab w:val="left" w:pos="426"/>
              </w:tabs>
            </w:pPr>
          </w:p>
        </w:tc>
        <w:tc>
          <w:tcPr>
            <w:tcW w:w="2750" w:type="dxa"/>
          </w:tcPr>
          <w:p w:rsidR="005C5EFB" w:rsidRDefault="005C5EFB">
            <w:pPr>
              <w:tabs>
                <w:tab w:val="left" w:pos="284"/>
                <w:tab w:val="left" w:pos="426"/>
              </w:tabs>
            </w:pPr>
          </w:p>
        </w:tc>
        <w:tc>
          <w:tcPr>
            <w:tcW w:w="3650" w:type="dxa"/>
          </w:tcPr>
          <w:p w:rsidR="005C5EFB" w:rsidRDefault="00D91E7E">
            <w:pPr>
              <w:tabs>
                <w:tab w:val="left" w:pos="284"/>
                <w:tab w:val="left" w:pos="426"/>
              </w:tabs>
            </w:pPr>
            <w:r>
              <w:t>PATVIRTINTA</w:t>
            </w:r>
          </w:p>
          <w:p w:rsidR="005C5EFB" w:rsidRDefault="00D91E7E">
            <w:pPr>
              <w:tabs>
                <w:tab w:val="left" w:pos="284"/>
                <w:tab w:val="left" w:pos="426"/>
              </w:tabs>
            </w:pPr>
            <w:r>
              <w:t xml:space="preserve">Švenčionių r. Švenčionėlių </w:t>
            </w:r>
          </w:p>
          <w:p w:rsidR="005C5EFB" w:rsidRDefault="00D91E7E">
            <w:pPr>
              <w:tabs>
                <w:tab w:val="left" w:pos="284"/>
                <w:tab w:val="left" w:pos="426"/>
              </w:tabs>
            </w:pPr>
            <w:r>
              <w:t xml:space="preserve">Mindaugo gimnazijos direktoriaus </w:t>
            </w:r>
          </w:p>
          <w:p w:rsidR="005C5EFB" w:rsidRDefault="00D91E7E">
            <w:pPr>
              <w:tabs>
                <w:tab w:val="left" w:pos="284"/>
                <w:tab w:val="left" w:pos="426"/>
              </w:tabs>
            </w:pPr>
            <w:r>
              <w:t xml:space="preserve">2019 </w:t>
            </w:r>
            <w:proofErr w:type="spellStart"/>
            <w:r>
              <w:t>m</w:t>
            </w:r>
            <w:proofErr w:type="spellEnd"/>
            <w:r>
              <w:t xml:space="preserve">. </w:t>
            </w:r>
            <w:r w:rsidR="00763EE0">
              <w:t>rugpjūčio 30</w:t>
            </w:r>
            <w:r>
              <w:t xml:space="preserve">  </w:t>
            </w:r>
            <w:proofErr w:type="spellStart"/>
            <w:r>
              <w:t>d</w:t>
            </w:r>
            <w:proofErr w:type="spellEnd"/>
            <w:r>
              <w:t xml:space="preserve">. </w:t>
            </w:r>
          </w:p>
          <w:p w:rsidR="005C5EFB" w:rsidRDefault="00D91E7E">
            <w:pPr>
              <w:tabs>
                <w:tab w:val="left" w:pos="284"/>
                <w:tab w:val="left" w:pos="426"/>
              </w:tabs>
            </w:pPr>
            <w:r>
              <w:t xml:space="preserve">įsakymu </w:t>
            </w:r>
            <w:proofErr w:type="spellStart"/>
            <w:r>
              <w:t>Nr</w:t>
            </w:r>
            <w:proofErr w:type="spellEnd"/>
            <w:r>
              <w:t>. O-</w:t>
            </w:r>
            <w:r w:rsidR="00763EE0">
              <w:t>80</w:t>
            </w:r>
          </w:p>
        </w:tc>
      </w:tr>
    </w:tbl>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763EE0" w:rsidRDefault="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b/>
        </w:rPr>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b/>
        </w:rPr>
      </w:pPr>
      <w:r>
        <w:rPr>
          <w:b/>
        </w:rPr>
        <w:t>ŠVENČIONIŲ R. ŠVENČIONĖLIŲ MINDAUGO GIMNAZIJOS MOKINIŲ PAŽANGOS IR PASIEKIMŲ VERTINIMO TVARKOS APRAŠAS</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rsidP="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BENDROSIOS NUOSTATOS IR SĄVOKOS</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b/>
        </w:rPr>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 Vertinimo tvarka parengta remiantis Pradinio, pagrindinio ir vidurinio ugdymo programų aprašu, patvirtintu Lietuvos Respublikos Švietimo ir mokslo ministro 2015 </w:t>
      </w:r>
      <w:proofErr w:type="spellStart"/>
      <w:r>
        <w:t>m</w:t>
      </w:r>
      <w:proofErr w:type="spellEnd"/>
      <w:r>
        <w:t xml:space="preserve">. gruodžio 21 </w:t>
      </w:r>
      <w:proofErr w:type="spellStart"/>
      <w:r>
        <w:t>d</w:t>
      </w:r>
      <w:proofErr w:type="spellEnd"/>
      <w:r>
        <w:t xml:space="preserve">. įsakymu </w:t>
      </w:r>
      <w:proofErr w:type="spellStart"/>
      <w:r>
        <w:t>Nr</w:t>
      </w:r>
      <w:proofErr w:type="spellEnd"/>
      <w:r>
        <w:t xml:space="preserve">. V-1309 „Dėl pradinio, pagrindinio ir vidurinio ugdymo programų aprašo patvirtinimo“, Nuosekliojo mokymosi pagal bendrojo ugdymo programas tvarkos aprašu, patvirtintu Lietuvos Respublikos Švietimo ir mokslo ministro 2005 </w:t>
      </w:r>
      <w:proofErr w:type="spellStart"/>
      <w:r>
        <w:t>m</w:t>
      </w:r>
      <w:proofErr w:type="spellEnd"/>
      <w:r>
        <w:t xml:space="preserve">. balandžio 5 </w:t>
      </w:r>
      <w:proofErr w:type="spellStart"/>
      <w:r>
        <w:t>d</w:t>
      </w:r>
      <w:proofErr w:type="spellEnd"/>
      <w:r>
        <w:t xml:space="preserve">. įsakymo </w:t>
      </w:r>
      <w:proofErr w:type="spellStart"/>
      <w:r>
        <w:t>Nr</w:t>
      </w:r>
      <w:proofErr w:type="spellEnd"/>
      <w:r>
        <w:t xml:space="preserve">. ISAK-556 „Dėl nuosekliojo mokymosi pagal bendrojo ugdymo programas tvarkos aprašo patvirtinimo“, pagrindinio ugdymo bendrosiomis programomis, patvirtintomis Lietuvos Respublikos švietimo ir mokslo ministro 2008 </w:t>
      </w:r>
      <w:proofErr w:type="spellStart"/>
      <w:r>
        <w:t>m</w:t>
      </w:r>
      <w:proofErr w:type="spellEnd"/>
      <w:r>
        <w:t xml:space="preserve">. rugpjūčio 26 </w:t>
      </w:r>
      <w:proofErr w:type="spellStart"/>
      <w:r>
        <w:t>d</w:t>
      </w:r>
      <w:proofErr w:type="spellEnd"/>
      <w:r>
        <w:t xml:space="preserve">. įsakymu </w:t>
      </w:r>
      <w:proofErr w:type="spellStart"/>
      <w:r>
        <w:t>Nr</w:t>
      </w:r>
      <w:proofErr w:type="spellEnd"/>
      <w:r>
        <w:t xml:space="preserve">. ISAK-2433 „Dėl Pradinio ir pagrindinio ugdymo bendrųjų programų patvirtinimo“ (toliau – Pagrindinio ugdymo bendrosios programos), Vidurinio ugdymo bendrosiomis programomis, patvirtintomis Lietuvos Respublikos švietimo ir mokslo ministro 2011 </w:t>
      </w:r>
      <w:proofErr w:type="spellStart"/>
      <w:r>
        <w:t>m</w:t>
      </w:r>
      <w:proofErr w:type="spellEnd"/>
      <w:r>
        <w:t xml:space="preserve">. vasario 21 </w:t>
      </w:r>
      <w:proofErr w:type="spellStart"/>
      <w:r>
        <w:t>d</w:t>
      </w:r>
      <w:proofErr w:type="spellEnd"/>
      <w:r>
        <w:t xml:space="preserve">. įsakymu </w:t>
      </w:r>
      <w:proofErr w:type="spellStart"/>
      <w:r>
        <w:t>Nr</w:t>
      </w:r>
      <w:proofErr w:type="spellEnd"/>
      <w:r>
        <w:t>. V-269 „Dėl Vidurinio ugdymo bendrųjų programų patvirtinimo“ (toliau – Vidurinio ugdymo bendrosios programos).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2. Vertinimo tvarkoje vartojamos sąvokos: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Mokinių pasiekimų ir pažangos vertinimas</w:t>
      </w:r>
      <w:r>
        <w:t xml:space="preserve"> – kriterijais grįstas ugdymosi ir mokymosi stebėjimas  ir  grįžtamasis  ryšys,  informacijos apie mokymosi procesus ir rezultatus rinkimas ir kaupimas, interpretavimas ir naudojimas mokymo ir mokymosi kokybei užtikrinti.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b/>
        </w:rPr>
      </w:pPr>
      <w:r>
        <w:rPr>
          <w:b/>
        </w:rPr>
        <w:t xml:space="preserve">Įvertinimas </w:t>
      </w:r>
      <w:r>
        <w:t>– vertinimo proceso rezultatas, konkretus sprendimas apie mokinio pasiekimus ir padarytą pažangą.</w:t>
      </w:r>
      <w:r>
        <w:rPr>
          <w:b/>
        </w:rPr>
        <w:t xml:space="preserve">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Įsivertinimas</w:t>
      </w:r>
      <w:r>
        <w:t xml:space="preserve"> – paties mokinio  ugdymosi proceso,  pasiekimų ir pažangos stebėjimas, vertinimas ir apmąstymas, nusimatant tolesnius mokymosi žingsnius.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Formuojamasis vertinimas</w:t>
      </w:r>
      <w:r>
        <w:t xml:space="preserve"> – neformalus, nesiejamas su pažymiu. Mokinio veikla vertinama komentaru žodžiu kiekvieną pamoką reflektuojant, papildant ir tais</w:t>
      </w:r>
      <w:r w:rsidR="000B2F15">
        <w:t>ant atsakymus, atliktus darbus.</w:t>
      </w:r>
      <w:r>
        <w:t xml:space="preserve">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Diagnostinis vertinimas</w:t>
      </w:r>
      <w:r>
        <w:t xml:space="preserve"> – vertinimas, kuriuo išsiaiškinami mokinio pasiekimai ir tam tikru  mokymosi  metu  padaryta  pažanga,  numatomos  tolesnio  mokymosi  galimybės,  pagalba sunkumams įveikti. Vertinimas yra formalus, vertinamas pažymiu (10 balų sistema), baigus temą, kurso dalį.</w:t>
      </w:r>
    </w:p>
    <w:p w:rsidR="005C5EFB" w:rsidRDefault="00D91E7E">
      <w:pPr>
        <w:ind w:firstLine="709"/>
        <w:jc w:val="both"/>
      </w:pPr>
      <w:r>
        <w:rPr>
          <w:b/>
        </w:rPr>
        <w:t>Individualios pažangos vertinimas</w:t>
      </w:r>
      <w:r>
        <w:t xml:space="preserve"> – vertinimo principas, pagal kurį lyginant dabartinius mokinio pasiekimus su ankstesniaisiais stebima ir vertinama daroma pažanga.</w:t>
      </w:r>
    </w:p>
    <w:p w:rsidR="005C5EFB" w:rsidRDefault="00D91E7E">
      <w:pPr>
        <w:ind w:firstLine="709"/>
        <w:jc w:val="both"/>
      </w:pPr>
      <w:r>
        <w:rPr>
          <w:b/>
        </w:rPr>
        <w:t>Savivaldis mokymasis</w:t>
      </w:r>
      <w:r>
        <w:t xml:space="preserve"> – mokymasis, per kurį asmuo savo iniciatyva išsiaiškina mokymosi poreikius, keliasi tikslus, planuojasi mokymąsi, sukuria ar pasirenka mokymosi aplinką bei priemones, sau tinkamas mokymosi strategijas, įsivertina pasiekimus ir pažangą.</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Kaupiamasis vertinimas</w:t>
      </w:r>
      <w:r>
        <w:t xml:space="preserve">  –  mokinių  pasiekimų  ir  pažangos  suminis  vertinimas naudojant  įvairius  mokytojo  pasirinktus  vertinimo  būdus,  su  kuriais  mokiniai supažindinami mokslo metų pradžioje.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Kontrolinis darbas</w:t>
      </w:r>
      <w:r>
        <w:t xml:space="preserve"> – žinių,  gebėjimų,  įgūdžių  parodymas  arba  mokinio  žinias, gebėjimus,  įgūdžius  patikrinantis  ir  formaliai  vertinamas  darbas,  kuriam  atlikti  skiriama  ne mažiau kaip 30 minučių.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Privalomi atsiskaityti darbai</w:t>
      </w:r>
      <w:r>
        <w:t xml:space="preserve"> – mokytojų nurodyti atsiskaitomieji darbai, kurie  </w:t>
      </w:r>
      <w:r>
        <w:lastRenderedPageBreak/>
        <w:t xml:space="preserve">vertinami  pažymiu  ar  įskaita  (priklausomai  nuo  dalyko vertinimo). </w:t>
      </w:r>
    </w:p>
    <w:p w:rsidR="005C5EFB" w:rsidRDefault="00D91E7E">
      <w:pPr>
        <w:ind w:firstLine="709"/>
        <w:jc w:val="both"/>
      </w:pPr>
      <w:r>
        <w:rPr>
          <w:b/>
        </w:rPr>
        <w:t>Atsiskaitymas žodžiu</w:t>
      </w:r>
      <w:r>
        <w:t xml:space="preserve"> – tai monologo, dialogo, diskusijos, debatų vertinimas, skirtas patikrinti, kaip mokinys geba tiek individualiai, tiek poroje taisyklingai, argumentuotai, įtikinamai reikšti mintis, apibendrinti savo ir kitų kalbą.</w:t>
      </w:r>
    </w:p>
    <w:p w:rsidR="005C5EFB" w:rsidRDefault="00D91E7E">
      <w:pPr>
        <w:ind w:firstLine="709"/>
        <w:jc w:val="both"/>
      </w:pPr>
      <w:r>
        <w:rPr>
          <w:b/>
        </w:rPr>
        <w:t>Savarankiškas darbas</w:t>
      </w:r>
      <w:r>
        <w:t xml:space="preserve"> – tai atsiskaitymas raštu (žodžių diktantas, testas, pastraipos kūrimas ir </w:t>
      </w:r>
      <w:proofErr w:type="spellStart"/>
      <w:r>
        <w:t>kt</w:t>
      </w:r>
      <w:proofErr w:type="spellEnd"/>
      <w:r>
        <w:t>.), žodžiu, laboratorinis darbas, darbas grupėse, organizuotas iš vienos-dviejų pamokų medžiagos, vertinamas pažymiu (10 balų sistema).</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rPr>
          <w:b/>
        </w:rPr>
        <w:t>Apibendrinamasis sumuojamasis vertinimas</w:t>
      </w:r>
      <w:r>
        <w:t xml:space="preserve"> – formaliai patvirtinti mokinio ugdymosi rezultatai, baigus programą, kursą, modulį ar kitą mokymosi etapą  (I ir II pusmečio įvertinimai, metinis įvertinimas, papildomo darbo įvertinimas).</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b/>
        </w:rPr>
      </w:pPr>
      <w:r>
        <w:rPr>
          <w:b/>
        </w:rPr>
        <w:t>II. VERTINIMO TIKSLAI IR UŽDAVINIAI</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3. Vertinimo tikslai:</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3.1. padėti mokiniui mokytis;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3.2. pateikti informaciją apie mokinio pasiekimus ir pažangą;</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3.3. nustatyti mokytojo, gimnazijos darbo sėkmę, priimti pagrįstus sprendimus.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4. Vertinimo uždaviniai:</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4.1. padėti mokiniui pažinti save, suprasti savo stipriąsias ir  silpnąsias puses, įsivertinti savo pasiekimus, formuoti mokymosi tikslus ir uždavinius;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4.2. padėti  mokytojui  įžvelgti  mokinio  mokymosi  galimybes,  nustatyti  problemas  ir spragas, diferencijuoti ir individualizuoti darbą;</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4.3. suteikti  tėvams  (globėjams,  rūpintojams)  informaciją  apie  vaiko  mokymąsi,  gerinti gimnazijos bendruomenės (mokinių, tėvų (globėjų, rūpintojų) ir pedagogų) ryšius;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4.4. gimnazija  turi  galimybę  įsivertinti  savo  ugdomojo  proceso  kokybę,  koreguoti ugdymo turinį ir procesą pagal poreikius.</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rsidP="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VERTINIMO NUOSTATOS IR PRINCIPAI</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5. Vertinimo nuostatos ir principai:</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5.1.  vertinimas  mokymuisi  (vertinimas  grindžiamas  amžiaus  tarpsnių  psichologiniais</w:t>
      </w:r>
    </w:p>
    <w:p w:rsidR="005C5EFB" w:rsidRDefault="00D91E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ypatumais);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5.2. vertinama  remiantis  šiuolaikine  mokymosi  samprata  (įgūdžiai,  pastangos, įvairūs gebėjimai);</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5.3. vertinama ne tik žinios, bet ir įvairios bendrosiose programose numatytos kompetencijos;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5.4. vertinama individuali mokinio pažanga;</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5.5. vertinimas atviras ir skaidrus (su mokiniais aptariami vertinimo kriterijai);</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5.6. vertinimas objektyvus ir efektyvus.</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rsidP="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MOKINIŲ ŽINIŲ IR SUPRATIMO, GEBĖJIMŲ, ĮGŪDŽIŲ BEI DAROMOS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b/>
        </w:rPr>
      </w:pPr>
      <w:r>
        <w:rPr>
          <w:b/>
        </w:rPr>
        <w:t>PAŽANGOS VERTINIMAS</w:t>
      </w:r>
    </w:p>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6. Mokinių žinios vertinamos pagal dalykų bendrųjų programų reikalavimus ir Nuosekliojo mokymosi pagal bendrojo ugdymo programas tvarkos aprašu. </w:t>
      </w:r>
    </w:p>
    <w:p w:rsidR="005C5EFB" w:rsidRDefault="00D91E7E">
      <w:pPr>
        <w:ind w:firstLine="720"/>
        <w:jc w:val="both"/>
      </w:pPr>
      <w:r>
        <w:rPr>
          <w:color w:val="000000"/>
        </w:rPr>
        <w:t xml:space="preserve">6.1. </w:t>
      </w:r>
      <w:r>
        <w:t xml:space="preserve">Mokinių, besimokančių pagal pagrindinio ir vidurinio ugdymo programas, pažanga ir pasiekimai vertinami pagal Bendrosiose programose aprašytus pasiekimus taikant 10 balų vertinimo sistemą; </w:t>
      </w:r>
    </w:p>
    <w:p w:rsidR="005C5EFB" w:rsidRDefault="00D91E7E">
      <w:pPr>
        <w:ind w:firstLine="720"/>
        <w:jc w:val="both"/>
      </w:pPr>
      <w:r>
        <w:rPr>
          <w:color w:val="000000"/>
        </w:rPr>
        <w:t xml:space="preserve">6.2. </w:t>
      </w:r>
      <w:r>
        <w:t>Vertinant mokinių pasiekimus orientuojamasi į pasiekimų lygius, apibrėžtus pagrindinio ir vidurinio ugdymo bendrosiose programose. Vertinimo skalė:</w:t>
      </w:r>
    </w:p>
    <w:p w:rsidR="00763EE0" w:rsidRDefault="00763EE0">
      <w:pPr>
        <w:ind w:firstLine="720"/>
        <w:jc w:val="both"/>
      </w:pPr>
    </w:p>
    <w:tbl>
      <w:tblPr>
        <w:tblStyle w:val="a0"/>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970"/>
        <w:gridCol w:w="2511"/>
        <w:gridCol w:w="1995"/>
      </w:tblGrid>
      <w:tr w:rsidR="005C5EFB">
        <w:trPr>
          <w:trHeight w:val="100"/>
        </w:trPr>
        <w:tc>
          <w:tcPr>
            <w:tcW w:w="1980" w:type="dxa"/>
            <w:shd w:val="clear" w:color="auto" w:fill="auto"/>
            <w:tcMar>
              <w:top w:w="100" w:type="dxa"/>
              <w:left w:w="100" w:type="dxa"/>
              <w:bottom w:w="100" w:type="dxa"/>
              <w:right w:w="100" w:type="dxa"/>
            </w:tcMar>
          </w:tcPr>
          <w:p w:rsidR="005C5EFB" w:rsidRDefault="00D91E7E">
            <w:pPr>
              <w:jc w:val="center"/>
              <w:rPr>
                <w:b/>
              </w:rPr>
            </w:pPr>
            <w:r>
              <w:rPr>
                <w:b/>
              </w:rPr>
              <w:lastRenderedPageBreak/>
              <w:t>Pasiekimų lygis</w:t>
            </w:r>
          </w:p>
        </w:tc>
        <w:tc>
          <w:tcPr>
            <w:tcW w:w="2970" w:type="dxa"/>
            <w:shd w:val="clear" w:color="auto" w:fill="auto"/>
            <w:tcMar>
              <w:top w:w="100" w:type="dxa"/>
              <w:left w:w="100" w:type="dxa"/>
              <w:bottom w:w="100" w:type="dxa"/>
              <w:right w:w="100" w:type="dxa"/>
            </w:tcMar>
          </w:tcPr>
          <w:p w:rsidR="005C5EFB" w:rsidRDefault="00D91E7E">
            <w:pPr>
              <w:jc w:val="center"/>
              <w:rPr>
                <w:b/>
              </w:rPr>
            </w:pPr>
            <w:r>
              <w:rPr>
                <w:b/>
              </w:rPr>
              <w:t>Trumpas apibūdinimas</w:t>
            </w:r>
          </w:p>
        </w:tc>
        <w:tc>
          <w:tcPr>
            <w:tcW w:w="4506" w:type="dxa"/>
            <w:gridSpan w:val="2"/>
            <w:shd w:val="clear" w:color="auto" w:fill="auto"/>
            <w:tcMar>
              <w:top w:w="100" w:type="dxa"/>
              <w:left w:w="100" w:type="dxa"/>
              <w:bottom w:w="100" w:type="dxa"/>
              <w:right w:w="100" w:type="dxa"/>
            </w:tcMar>
          </w:tcPr>
          <w:p w:rsidR="005C5EFB" w:rsidRDefault="00D91E7E">
            <w:pPr>
              <w:ind w:firstLine="720"/>
              <w:jc w:val="center"/>
              <w:rPr>
                <w:b/>
              </w:rPr>
            </w:pPr>
            <w:r>
              <w:rPr>
                <w:b/>
              </w:rPr>
              <w:t>Įvertinimas</w:t>
            </w:r>
          </w:p>
        </w:tc>
      </w:tr>
      <w:tr w:rsidR="005C5EFB">
        <w:trPr>
          <w:trHeight w:val="180"/>
        </w:trPr>
        <w:tc>
          <w:tcPr>
            <w:tcW w:w="1980" w:type="dxa"/>
            <w:vMerge w:val="restart"/>
            <w:shd w:val="clear" w:color="auto" w:fill="auto"/>
            <w:tcMar>
              <w:top w:w="100" w:type="dxa"/>
              <w:left w:w="100" w:type="dxa"/>
              <w:bottom w:w="100" w:type="dxa"/>
              <w:right w:w="100" w:type="dxa"/>
            </w:tcMar>
            <w:vAlign w:val="center"/>
          </w:tcPr>
          <w:p w:rsidR="005C5EFB" w:rsidRDefault="000B2F15">
            <w:pPr>
              <w:jc w:val="center"/>
            </w:pPr>
            <w:r>
              <w:t>A</w:t>
            </w:r>
            <w:r w:rsidR="00D91E7E">
              <w:t>ukštesnysis</w:t>
            </w:r>
          </w:p>
        </w:tc>
        <w:tc>
          <w:tcPr>
            <w:tcW w:w="2970" w:type="dxa"/>
            <w:shd w:val="clear" w:color="auto" w:fill="auto"/>
            <w:tcMar>
              <w:top w:w="100" w:type="dxa"/>
              <w:left w:w="100" w:type="dxa"/>
              <w:bottom w:w="100" w:type="dxa"/>
              <w:right w:w="100" w:type="dxa"/>
            </w:tcMar>
          </w:tcPr>
          <w:p w:rsidR="005C5EFB" w:rsidRDefault="00D91E7E">
            <w:pPr>
              <w:jc w:val="both"/>
            </w:pPr>
            <w:r>
              <w:t>puikiai</w:t>
            </w:r>
          </w:p>
        </w:tc>
        <w:tc>
          <w:tcPr>
            <w:tcW w:w="2511" w:type="dxa"/>
            <w:shd w:val="clear" w:color="auto" w:fill="auto"/>
            <w:tcMar>
              <w:top w:w="100" w:type="dxa"/>
              <w:left w:w="100" w:type="dxa"/>
              <w:bottom w:w="100" w:type="dxa"/>
              <w:right w:w="100" w:type="dxa"/>
            </w:tcMar>
          </w:tcPr>
          <w:p w:rsidR="005C5EFB" w:rsidRDefault="00D91E7E">
            <w:pPr>
              <w:jc w:val="both"/>
            </w:pPr>
            <w:r>
              <w:t>10 (dešimt)</w:t>
            </w:r>
          </w:p>
        </w:tc>
        <w:tc>
          <w:tcPr>
            <w:tcW w:w="1995" w:type="dxa"/>
            <w:vMerge w:val="restart"/>
            <w:shd w:val="clear" w:color="auto" w:fill="auto"/>
            <w:tcMar>
              <w:top w:w="100" w:type="dxa"/>
              <w:left w:w="100" w:type="dxa"/>
              <w:bottom w:w="100" w:type="dxa"/>
              <w:right w:w="100" w:type="dxa"/>
            </w:tcMar>
            <w:vAlign w:val="center"/>
          </w:tcPr>
          <w:p w:rsidR="005C5EFB" w:rsidRDefault="00D91E7E">
            <w:pPr>
              <w:jc w:val="center"/>
            </w:pPr>
            <w:r>
              <w:t>Įskaityta (,,</w:t>
            </w:r>
            <w:proofErr w:type="spellStart"/>
            <w:r>
              <w:t>įsk</w:t>
            </w:r>
            <w:proofErr w:type="spellEnd"/>
            <w:r>
              <w:t>.“)/</w:t>
            </w:r>
          </w:p>
          <w:p w:rsidR="005C5EFB" w:rsidRDefault="00D91E7E">
            <w:pPr>
              <w:jc w:val="center"/>
            </w:pPr>
            <w:r>
              <w:t>Atleista (,,</w:t>
            </w:r>
            <w:proofErr w:type="spellStart"/>
            <w:r>
              <w:t>atl</w:t>
            </w:r>
            <w:proofErr w:type="spellEnd"/>
            <w:r>
              <w:t xml:space="preserve">.“) </w:t>
            </w:r>
          </w:p>
        </w:tc>
      </w:tr>
      <w:tr w:rsidR="005C5EFB">
        <w:trPr>
          <w:trHeight w:val="100"/>
        </w:trPr>
        <w:tc>
          <w:tcPr>
            <w:tcW w:w="1980"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c>
          <w:tcPr>
            <w:tcW w:w="2970" w:type="dxa"/>
            <w:shd w:val="clear" w:color="auto" w:fill="auto"/>
            <w:tcMar>
              <w:top w:w="100" w:type="dxa"/>
              <w:left w:w="100" w:type="dxa"/>
              <w:bottom w:w="100" w:type="dxa"/>
              <w:right w:w="100" w:type="dxa"/>
            </w:tcMar>
          </w:tcPr>
          <w:p w:rsidR="005C5EFB" w:rsidRDefault="00D91E7E">
            <w:pPr>
              <w:jc w:val="both"/>
            </w:pPr>
            <w:r>
              <w:t>labai gerai</w:t>
            </w:r>
          </w:p>
        </w:tc>
        <w:tc>
          <w:tcPr>
            <w:tcW w:w="2511" w:type="dxa"/>
            <w:shd w:val="clear" w:color="auto" w:fill="auto"/>
            <w:tcMar>
              <w:top w:w="100" w:type="dxa"/>
              <w:left w:w="100" w:type="dxa"/>
              <w:bottom w:w="100" w:type="dxa"/>
              <w:right w:w="100" w:type="dxa"/>
            </w:tcMar>
          </w:tcPr>
          <w:p w:rsidR="005C5EFB" w:rsidRDefault="00D91E7E">
            <w:pPr>
              <w:jc w:val="both"/>
            </w:pPr>
            <w:r>
              <w:t>9 (devyni)</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180"/>
        </w:trPr>
        <w:tc>
          <w:tcPr>
            <w:tcW w:w="1980" w:type="dxa"/>
            <w:vMerge w:val="restart"/>
            <w:shd w:val="clear" w:color="auto" w:fill="auto"/>
            <w:tcMar>
              <w:top w:w="100" w:type="dxa"/>
              <w:left w:w="100" w:type="dxa"/>
              <w:bottom w:w="100" w:type="dxa"/>
              <w:right w:w="100" w:type="dxa"/>
            </w:tcMar>
            <w:vAlign w:val="center"/>
          </w:tcPr>
          <w:p w:rsidR="005C5EFB" w:rsidRDefault="000B2F15">
            <w:pPr>
              <w:jc w:val="center"/>
            </w:pPr>
            <w:r>
              <w:t>P</w:t>
            </w:r>
            <w:r w:rsidR="00D91E7E">
              <w:t>agrindinis</w:t>
            </w:r>
          </w:p>
        </w:tc>
        <w:tc>
          <w:tcPr>
            <w:tcW w:w="2970" w:type="dxa"/>
            <w:shd w:val="clear" w:color="auto" w:fill="auto"/>
            <w:tcMar>
              <w:top w:w="100" w:type="dxa"/>
              <w:left w:w="100" w:type="dxa"/>
              <w:bottom w:w="100" w:type="dxa"/>
              <w:right w:w="100" w:type="dxa"/>
            </w:tcMar>
          </w:tcPr>
          <w:p w:rsidR="005C5EFB" w:rsidRDefault="00D91E7E">
            <w:pPr>
              <w:jc w:val="both"/>
            </w:pPr>
            <w:r>
              <w:t>gerai</w:t>
            </w:r>
          </w:p>
        </w:tc>
        <w:tc>
          <w:tcPr>
            <w:tcW w:w="2511" w:type="dxa"/>
            <w:shd w:val="clear" w:color="auto" w:fill="auto"/>
            <w:tcMar>
              <w:top w:w="100" w:type="dxa"/>
              <w:left w:w="100" w:type="dxa"/>
              <w:bottom w:w="100" w:type="dxa"/>
              <w:right w:w="100" w:type="dxa"/>
            </w:tcMar>
          </w:tcPr>
          <w:p w:rsidR="005C5EFB" w:rsidRDefault="00D91E7E">
            <w:pPr>
              <w:jc w:val="both"/>
            </w:pPr>
            <w:r>
              <w:t xml:space="preserve">8 (aštuoni) </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260"/>
        </w:trPr>
        <w:tc>
          <w:tcPr>
            <w:tcW w:w="1980"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c>
          <w:tcPr>
            <w:tcW w:w="2970" w:type="dxa"/>
            <w:shd w:val="clear" w:color="auto" w:fill="auto"/>
            <w:tcMar>
              <w:top w:w="100" w:type="dxa"/>
              <w:left w:w="100" w:type="dxa"/>
              <w:bottom w:w="100" w:type="dxa"/>
              <w:right w:w="100" w:type="dxa"/>
            </w:tcMar>
          </w:tcPr>
          <w:p w:rsidR="005C5EFB" w:rsidRDefault="00D91E7E">
            <w:pPr>
              <w:jc w:val="both"/>
            </w:pPr>
            <w:r>
              <w:t>pakankamai gerai</w:t>
            </w:r>
          </w:p>
        </w:tc>
        <w:tc>
          <w:tcPr>
            <w:tcW w:w="2511" w:type="dxa"/>
            <w:shd w:val="clear" w:color="auto" w:fill="auto"/>
            <w:tcMar>
              <w:top w:w="100" w:type="dxa"/>
              <w:left w:w="100" w:type="dxa"/>
              <w:bottom w:w="100" w:type="dxa"/>
              <w:right w:w="100" w:type="dxa"/>
            </w:tcMar>
          </w:tcPr>
          <w:p w:rsidR="005C5EFB" w:rsidRDefault="00D91E7E">
            <w:pPr>
              <w:jc w:val="both"/>
            </w:pPr>
            <w:r>
              <w:t>7 (septyni)</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180"/>
        </w:trPr>
        <w:tc>
          <w:tcPr>
            <w:tcW w:w="1980"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c>
          <w:tcPr>
            <w:tcW w:w="2970" w:type="dxa"/>
            <w:shd w:val="clear" w:color="auto" w:fill="auto"/>
            <w:tcMar>
              <w:top w:w="100" w:type="dxa"/>
              <w:left w:w="100" w:type="dxa"/>
              <w:bottom w:w="100" w:type="dxa"/>
              <w:right w:w="100" w:type="dxa"/>
            </w:tcMar>
          </w:tcPr>
          <w:p w:rsidR="005C5EFB" w:rsidRDefault="00D91E7E">
            <w:pPr>
              <w:jc w:val="both"/>
            </w:pPr>
            <w:r>
              <w:t xml:space="preserve">vidutiniškai </w:t>
            </w:r>
          </w:p>
        </w:tc>
        <w:tc>
          <w:tcPr>
            <w:tcW w:w="2511" w:type="dxa"/>
            <w:shd w:val="clear" w:color="auto" w:fill="auto"/>
            <w:tcMar>
              <w:top w:w="100" w:type="dxa"/>
              <w:left w:w="100" w:type="dxa"/>
              <w:bottom w:w="100" w:type="dxa"/>
              <w:right w:w="100" w:type="dxa"/>
            </w:tcMar>
          </w:tcPr>
          <w:p w:rsidR="005C5EFB" w:rsidRDefault="00D91E7E">
            <w:pPr>
              <w:jc w:val="both"/>
            </w:pPr>
            <w:r>
              <w:t>6 (šeši)</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100"/>
        </w:trPr>
        <w:tc>
          <w:tcPr>
            <w:tcW w:w="1980" w:type="dxa"/>
            <w:vMerge w:val="restart"/>
            <w:shd w:val="clear" w:color="auto" w:fill="auto"/>
            <w:tcMar>
              <w:top w:w="100" w:type="dxa"/>
              <w:left w:w="100" w:type="dxa"/>
              <w:bottom w:w="100" w:type="dxa"/>
              <w:right w:w="100" w:type="dxa"/>
            </w:tcMar>
            <w:vAlign w:val="center"/>
          </w:tcPr>
          <w:p w:rsidR="005C5EFB" w:rsidRDefault="000B2F15">
            <w:pPr>
              <w:jc w:val="center"/>
            </w:pPr>
            <w:r>
              <w:t>P</w:t>
            </w:r>
            <w:r w:rsidR="00D91E7E">
              <w:t>atenkinamas</w:t>
            </w:r>
          </w:p>
        </w:tc>
        <w:tc>
          <w:tcPr>
            <w:tcW w:w="2970" w:type="dxa"/>
            <w:shd w:val="clear" w:color="auto" w:fill="auto"/>
            <w:tcMar>
              <w:top w:w="100" w:type="dxa"/>
              <w:left w:w="100" w:type="dxa"/>
              <w:bottom w:w="100" w:type="dxa"/>
              <w:right w:w="100" w:type="dxa"/>
            </w:tcMar>
          </w:tcPr>
          <w:p w:rsidR="005C5EFB" w:rsidRDefault="00D91E7E">
            <w:pPr>
              <w:jc w:val="both"/>
            </w:pPr>
            <w:r>
              <w:t xml:space="preserve">patenkinamai </w:t>
            </w:r>
          </w:p>
        </w:tc>
        <w:tc>
          <w:tcPr>
            <w:tcW w:w="2511" w:type="dxa"/>
            <w:shd w:val="clear" w:color="auto" w:fill="auto"/>
            <w:tcMar>
              <w:top w:w="100" w:type="dxa"/>
              <w:left w:w="100" w:type="dxa"/>
              <w:bottom w:w="100" w:type="dxa"/>
              <w:right w:w="100" w:type="dxa"/>
            </w:tcMar>
          </w:tcPr>
          <w:p w:rsidR="005C5EFB" w:rsidRDefault="00D91E7E">
            <w:pPr>
              <w:jc w:val="both"/>
            </w:pPr>
            <w:r>
              <w:t>5 (penki)</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180"/>
        </w:trPr>
        <w:tc>
          <w:tcPr>
            <w:tcW w:w="1980"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c>
          <w:tcPr>
            <w:tcW w:w="2970" w:type="dxa"/>
            <w:shd w:val="clear" w:color="auto" w:fill="auto"/>
            <w:tcMar>
              <w:top w:w="100" w:type="dxa"/>
              <w:left w:w="100" w:type="dxa"/>
              <w:bottom w:w="100" w:type="dxa"/>
              <w:right w:w="100" w:type="dxa"/>
            </w:tcMar>
          </w:tcPr>
          <w:p w:rsidR="005C5EFB" w:rsidRDefault="00D91E7E">
            <w:pPr>
              <w:jc w:val="both"/>
            </w:pPr>
            <w:r>
              <w:t>pakankamai patenkinamai</w:t>
            </w:r>
          </w:p>
        </w:tc>
        <w:tc>
          <w:tcPr>
            <w:tcW w:w="2511" w:type="dxa"/>
            <w:shd w:val="clear" w:color="auto" w:fill="auto"/>
            <w:tcMar>
              <w:top w:w="100" w:type="dxa"/>
              <w:left w:w="100" w:type="dxa"/>
              <w:bottom w:w="100" w:type="dxa"/>
              <w:right w:w="100" w:type="dxa"/>
            </w:tcMar>
          </w:tcPr>
          <w:p w:rsidR="005C5EFB" w:rsidRDefault="00D91E7E">
            <w:pPr>
              <w:jc w:val="both"/>
            </w:pPr>
            <w:r>
              <w:t>4 (keturi)</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240"/>
        </w:trPr>
        <w:tc>
          <w:tcPr>
            <w:tcW w:w="1980" w:type="dxa"/>
            <w:vMerge w:val="restart"/>
            <w:shd w:val="clear" w:color="auto" w:fill="auto"/>
            <w:tcMar>
              <w:top w:w="100" w:type="dxa"/>
              <w:left w:w="100" w:type="dxa"/>
              <w:bottom w:w="100" w:type="dxa"/>
              <w:right w:w="100" w:type="dxa"/>
            </w:tcMar>
            <w:vAlign w:val="center"/>
          </w:tcPr>
          <w:p w:rsidR="005C5EFB" w:rsidRDefault="000B2F15">
            <w:pPr>
              <w:jc w:val="center"/>
            </w:pPr>
            <w:r>
              <w:t>N</w:t>
            </w:r>
            <w:r w:rsidR="00D91E7E">
              <w:t>epatenkinamas</w:t>
            </w:r>
          </w:p>
        </w:tc>
        <w:tc>
          <w:tcPr>
            <w:tcW w:w="2970" w:type="dxa"/>
            <w:shd w:val="clear" w:color="auto" w:fill="auto"/>
            <w:tcMar>
              <w:top w:w="100" w:type="dxa"/>
              <w:left w:w="100" w:type="dxa"/>
              <w:bottom w:w="100" w:type="dxa"/>
              <w:right w:w="100" w:type="dxa"/>
            </w:tcMar>
          </w:tcPr>
          <w:p w:rsidR="005C5EFB" w:rsidRDefault="00D91E7E">
            <w:pPr>
              <w:jc w:val="both"/>
            </w:pPr>
            <w:r>
              <w:t>nepatenkinamai</w:t>
            </w:r>
          </w:p>
        </w:tc>
        <w:tc>
          <w:tcPr>
            <w:tcW w:w="2511" w:type="dxa"/>
            <w:shd w:val="clear" w:color="auto" w:fill="auto"/>
            <w:tcMar>
              <w:top w:w="100" w:type="dxa"/>
              <w:left w:w="100" w:type="dxa"/>
              <w:bottom w:w="100" w:type="dxa"/>
              <w:right w:w="100" w:type="dxa"/>
            </w:tcMar>
          </w:tcPr>
          <w:p w:rsidR="005C5EFB" w:rsidRDefault="00D91E7E">
            <w:pPr>
              <w:jc w:val="both"/>
            </w:pPr>
            <w:r>
              <w:t xml:space="preserve">3 (trys) </w:t>
            </w:r>
          </w:p>
        </w:tc>
        <w:tc>
          <w:tcPr>
            <w:tcW w:w="1995" w:type="dxa"/>
            <w:vMerge w:val="restart"/>
            <w:shd w:val="clear" w:color="auto" w:fill="auto"/>
            <w:tcMar>
              <w:top w:w="100" w:type="dxa"/>
              <w:left w:w="100" w:type="dxa"/>
              <w:bottom w:w="100" w:type="dxa"/>
              <w:right w:w="100" w:type="dxa"/>
            </w:tcMar>
            <w:vAlign w:val="center"/>
          </w:tcPr>
          <w:p w:rsidR="005C5EFB" w:rsidRDefault="00D91E7E">
            <w:pPr>
              <w:jc w:val="center"/>
            </w:pPr>
            <w:r>
              <w:t>Neįskaityta (,,</w:t>
            </w:r>
            <w:proofErr w:type="spellStart"/>
            <w:r>
              <w:t>neįsk</w:t>
            </w:r>
            <w:proofErr w:type="spellEnd"/>
            <w:r>
              <w:t>.“)</w:t>
            </w:r>
          </w:p>
        </w:tc>
      </w:tr>
      <w:tr w:rsidR="005C5EFB">
        <w:trPr>
          <w:trHeight w:val="160"/>
        </w:trPr>
        <w:tc>
          <w:tcPr>
            <w:tcW w:w="1980"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c>
          <w:tcPr>
            <w:tcW w:w="2970" w:type="dxa"/>
            <w:shd w:val="clear" w:color="auto" w:fill="auto"/>
            <w:tcMar>
              <w:top w:w="100" w:type="dxa"/>
              <w:left w:w="100" w:type="dxa"/>
              <w:bottom w:w="100" w:type="dxa"/>
              <w:right w:w="100" w:type="dxa"/>
            </w:tcMar>
          </w:tcPr>
          <w:p w:rsidR="005C5EFB" w:rsidRDefault="00D91E7E">
            <w:pPr>
              <w:jc w:val="both"/>
            </w:pPr>
            <w:r>
              <w:t>blogai</w:t>
            </w:r>
          </w:p>
        </w:tc>
        <w:tc>
          <w:tcPr>
            <w:tcW w:w="2511" w:type="dxa"/>
            <w:shd w:val="clear" w:color="auto" w:fill="auto"/>
            <w:tcMar>
              <w:top w:w="100" w:type="dxa"/>
              <w:left w:w="100" w:type="dxa"/>
              <w:bottom w:w="100" w:type="dxa"/>
              <w:right w:w="100" w:type="dxa"/>
            </w:tcMar>
          </w:tcPr>
          <w:p w:rsidR="005C5EFB" w:rsidRDefault="00D91E7E">
            <w:pPr>
              <w:jc w:val="both"/>
            </w:pPr>
            <w:r>
              <w:t>2 (du)</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80"/>
        </w:trPr>
        <w:tc>
          <w:tcPr>
            <w:tcW w:w="1980"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c>
          <w:tcPr>
            <w:tcW w:w="2970" w:type="dxa"/>
            <w:shd w:val="clear" w:color="auto" w:fill="auto"/>
            <w:tcMar>
              <w:top w:w="100" w:type="dxa"/>
              <w:left w:w="100" w:type="dxa"/>
              <w:bottom w:w="100" w:type="dxa"/>
              <w:right w:w="100" w:type="dxa"/>
            </w:tcMar>
          </w:tcPr>
          <w:p w:rsidR="005C5EFB" w:rsidRDefault="00D91E7E">
            <w:pPr>
              <w:jc w:val="both"/>
            </w:pPr>
            <w:r>
              <w:t>labai blogai</w:t>
            </w:r>
          </w:p>
        </w:tc>
        <w:tc>
          <w:tcPr>
            <w:tcW w:w="2511" w:type="dxa"/>
            <w:shd w:val="clear" w:color="auto" w:fill="auto"/>
            <w:tcMar>
              <w:top w:w="100" w:type="dxa"/>
              <w:left w:w="100" w:type="dxa"/>
              <w:bottom w:w="100" w:type="dxa"/>
              <w:right w:w="100" w:type="dxa"/>
            </w:tcMar>
          </w:tcPr>
          <w:p w:rsidR="005C5EFB" w:rsidRDefault="00D91E7E">
            <w:pPr>
              <w:jc w:val="both"/>
            </w:pPr>
            <w:r>
              <w:t>1 (vienas)</w:t>
            </w:r>
          </w:p>
        </w:tc>
        <w:tc>
          <w:tcPr>
            <w:tcW w:w="199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bl>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rPr>
          <w:color w:val="000000"/>
        </w:rPr>
        <w:t xml:space="preserve">6.3. Vertinant I-II klasių mokinių žinias atsižvelgiama į </w:t>
      </w:r>
      <w:r>
        <w:t>B</w:t>
      </w:r>
      <w:r>
        <w:rPr>
          <w:color w:val="000000"/>
        </w:rPr>
        <w:t>UP, PUPP programas ir vertinimo normas;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rPr>
          <w:color w:val="000000"/>
        </w:rPr>
        <w:t>6.4. Vertinant  III-IV klasių mokinių žinias atsižvelgiama į konkretaus  dalyko  BUP</w:t>
      </w:r>
      <w:r>
        <w:t xml:space="preserve"> ir </w:t>
      </w:r>
      <w:r>
        <w:rPr>
          <w:color w:val="000000"/>
        </w:rPr>
        <w:t>brandos egzamino programą ir vertinimo normas.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7. Specialiųjų ugdymosi poreikių turintys mokiniai ugdomi pagal jų gebėjimams pritaikytas ar individualizuotas Bendrąsias  ugdymo  programas  ir  vertinami  vadovaujantis  tuo  pačiu gimnazijos Mokinių pažangos ir pasiekimų vertinimo tvarkos aprašu,  atsižvelgiant  </w:t>
      </w:r>
      <w:r>
        <w:rPr>
          <w:color w:val="000000"/>
        </w:rPr>
        <w:t xml:space="preserve">į </w:t>
      </w:r>
      <w:r>
        <w:rPr>
          <w:color w:val="FF0000"/>
        </w:rPr>
        <w:t xml:space="preserve"> </w:t>
      </w:r>
      <w:r>
        <w:rPr>
          <w:color w:val="000000"/>
        </w:rPr>
        <w:t xml:space="preserve">pagalbos specialistų ir gimnazijos VGK </w:t>
      </w:r>
      <w:r>
        <w:t>rekomendacijas.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rPr>
          <w:color w:val="000000"/>
        </w:rPr>
        <w:t>8.  Vertinimo planavimas: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rPr>
          <w:color w:val="000000"/>
        </w:rPr>
        <w:t>8.</w:t>
      </w:r>
      <w:r>
        <w:t>1</w:t>
      </w:r>
      <w:r>
        <w:rPr>
          <w:color w:val="000000"/>
        </w:rPr>
        <w:t>. mokytojas</w:t>
      </w:r>
      <w:r>
        <w:t xml:space="preserve"> </w:t>
      </w:r>
      <w:r w:rsidR="00795A45">
        <w:t xml:space="preserve">pirmosiose dalyko pamokose </w:t>
      </w:r>
      <w:r>
        <w:rPr>
          <w:color w:val="000000"/>
        </w:rPr>
        <w:t>supažindina  mokinius su privalomųjų atsiskaityti darbų sąrašu ir skaičiumi;</w:t>
      </w:r>
    </w:p>
    <w:p w:rsidR="005C5EFB" w:rsidRDefault="00D91E7E" w:rsidP="008819AC">
      <w:pPr>
        <w:ind w:firstLine="709"/>
        <w:jc w:val="both"/>
        <w:rPr>
          <w:color w:val="000000"/>
        </w:rPr>
      </w:pPr>
      <w:r>
        <w:rPr>
          <w:color w:val="000000"/>
        </w:rPr>
        <w:t>8.</w:t>
      </w:r>
      <w:r>
        <w:t>2</w:t>
      </w:r>
      <w:r>
        <w:rPr>
          <w:color w:val="000000"/>
        </w:rPr>
        <w:t xml:space="preserve">. planuojant mokinių, pradedančių mokytis gimnazijos I klasėje pažangos ir pasiekimų vertinimą, atsižvelgiama į diagnostinių testų rezultatus. Po diagnostinio vertinimo, esant reikalui, peržiūrimi ir koreguojami </w:t>
      </w:r>
      <w:r>
        <w:t>dalykų ilgalaikiai</w:t>
      </w:r>
      <w:r>
        <w:rPr>
          <w:color w:val="000000"/>
        </w:rPr>
        <w:t xml:space="preserve"> planai. Jei </w:t>
      </w:r>
      <w:r>
        <w:t>jie</w:t>
      </w:r>
      <w:r>
        <w:rPr>
          <w:color w:val="000000"/>
        </w:rPr>
        <w:t xml:space="preserve"> keičiami daugiau kaip 20 </w:t>
      </w:r>
      <w:proofErr w:type="spellStart"/>
      <w:r>
        <w:rPr>
          <w:color w:val="000000"/>
        </w:rPr>
        <w:t>proc</w:t>
      </w:r>
      <w:proofErr w:type="spellEnd"/>
      <w:r>
        <w:rPr>
          <w:color w:val="000000"/>
        </w:rPr>
        <w:t>., jie dar kartą aprobuojami metodinės grupės posėdyje.</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9. Pirmosios dvi rugsėjo mėnesio savaitės I klasėse skiriamos adaptacijai ir mokiniai nepatenkinamais pažymiais nevertinami, taikomas formuojamasis vertinimas. </w:t>
      </w:r>
    </w:p>
    <w:p w:rsidR="005C5EFB" w:rsidRDefault="00D91E7E">
      <w:pPr>
        <w:ind w:firstLine="709"/>
        <w:jc w:val="both"/>
        <w:rPr>
          <w:color w:val="000000"/>
        </w:rPr>
      </w:pPr>
      <w:r>
        <w:rPr>
          <w:color w:val="000000"/>
        </w:rPr>
        <w:t>10. Mokinių pažanga ir pasiekimai vertinami:</w:t>
      </w:r>
    </w:p>
    <w:p w:rsidR="005C5EFB" w:rsidRDefault="00D91E7E">
      <w:pPr>
        <w:ind w:firstLine="709"/>
        <w:jc w:val="both"/>
        <w:rPr>
          <w:color w:val="000000"/>
        </w:rPr>
      </w:pPr>
      <w:r>
        <w:rPr>
          <w:color w:val="000000"/>
        </w:rPr>
        <w:t xml:space="preserve">10.1. privalomųjų dalykų </w:t>
      </w:r>
      <w:r>
        <w:t xml:space="preserve">mokymosi pasiekimai </w:t>
      </w:r>
      <w:r>
        <w:rPr>
          <w:color w:val="000000"/>
        </w:rPr>
        <w:t>bei projektinė veikla vertinama pažymiais;</w:t>
      </w:r>
    </w:p>
    <w:p w:rsidR="005C5EFB" w:rsidRDefault="00D91E7E">
      <w:pPr>
        <w:ind w:firstLine="709"/>
        <w:jc w:val="both"/>
      </w:pPr>
      <w:r>
        <w:t>10.2. dorinio ugdymo (etikos ar tikybos), žmogaus saugos, pasirenkamųjų dalykų  mokymosi pasiekimai vertinami įrašu „įskaityta“ arba „neįskaityta“. Esant motyvuotam mokinio prašymui leidžiama pasirenkamuosius dalykus vertinti pažymiu;</w:t>
      </w:r>
    </w:p>
    <w:p w:rsidR="005C5EFB" w:rsidRDefault="00D91E7E">
      <w:pPr>
        <w:ind w:firstLine="709"/>
        <w:jc w:val="both"/>
      </w:pPr>
      <w:r>
        <w:t>10.3. dalykų moduliai vertinami bent vienu pažymiu per pusmetį, įvertinimai  įskaitomi į atitinkamo dalyko programos pasiekimų įvertinimą (</w:t>
      </w:r>
      <w:proofErr w:type="spellStart"/>
      <w:r>
        <w:t>el</w:t>
      </w:r>
      <w:proofErr w:type="spellEnd"/>
      <w:r>
        <w:t xml:space="preserve">. dienynas įvertinimus įrašo automatiškai). Dalykų modulių pusmečio ir metinis įvertinimas yra </w:t>
      </w:r>
      <w:r w:rsidR="000B2F15">
        <w:t xml:space="preserve"> „įskaityta“ arba „neįskaityta“;</w:t>
      </w:r>
    </w:p>
    <w:p w:rsidR="005C5EFB" w:rsidRDefault="00D91E7E">
      <w:pPr>
        <w:ind w:firstLine="709"/>
        <w:jc w:val="both"/>
      </w:pPr>
      <w:r>
        <w:t xml:space="preserve">10.4. III-IV </w:t>
      </w:r>
      <w:proofErr w:type="spellStart"/>
      <w:r>
        <w:t>kl</w:t>
      </w:r>
      <w:proofErr w:type="spellEnd"/>
      <w:r>
        <w:t>. mokiniai, norintys, kad jų fizinis ugdymas ar pasirink</w:t>
      </w:r>
      <w:r w:rsidR="00795A45">
        <w:t>ta sporto šaka</w:t>
      </w:r>
      <w:r>
        <w:t xml:space="preserve"> būtų vertinami ne pažymiais, o įrašais „įskaityta“ arba „neįskaityta“, ne vėliau kaip iki rugsėjo 14 </w:t>
      </w:r>
      <w:proofErr w:type="spellStart"/>
      <w:r>
        <w:t>d</w:t>
      </w:r>
      <w:proofErr w:type="spellEnd"/>
      <w:r>
        <w:t>. direktoriui pateikia prašymą;</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10.5. mokinių, kurie mokosi pagal socialinių įgūdžių ugdymo programą, pasiekimai vertinami ,,įskaityta”;</w:t>
      </w:r>
    </w:p>
    <w:p w:rsidR="005C5EFB" w:rsidRDefault="00D91E7E">
      <w:pPr>
        <w:ind w:firstLine="720"/>
        <w:jc w:val="both"/>
      </w:pPr>
      <w:r>
        <w:t xml:space="preserve">10.6. specialiosios medicininės fizinio pajėgumo grupės mokinių pasiekimai </w:t>
      </w:r>
      <w:r>
        <w:rPr>
          <w:color w:val="000000"/>
        </w:rPr>
        <w:t xml:space="preserve">fizinio </w:t>
      </w:r>
      <w:r>
        <w:rPr>
          <w:color w:val="000000"/>
        </w:rPr>
        <w:lastRenderedPageBreak/>
        <w:t>ugdymo</w:t>
      </w:r>
      <w:r>
        <w:rPr>
          <w:color w:val="C00000"/>
        </w:rPr>
        <w:t xml:space="preserve"> </w:t>
      </w:r>
      <w:r>
        <w:t xml:space="preserve">pratybose vertinami įrašu „įskaityta“ arba „neįskaityta“;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10.7. socialinė-pilietinė veikla vertinama II klasės mokslo metų pabaigoje įrašais „įskaityta“ arba „neįskaityta“ (surinkus mažiau nei 20 valandų per dvejus metus);</w:t>
      </w:r>
    </w:p>
    <w:p w:rsidR="005C5EFB" w:rsidRDefault="00D91E7E">
      <w:pPr>
        <w:ind w:firstLine="720"/>
        <w:jc w:val="both"/>
      </w:pPr>
      <w:r>
        <w:t xml:space="preserve">10.8. įrašas „atleista“ įrašomas, jeigu mokinys yra atleistas nuo </w:t>
      </w:r>
      <w:r>
        <w:rPr>
          <w:color w:val="000000"/>
        </w:rPr>
        <w:t xml:space="preserve">fizinio ugdymo </w:t>
      </w:r>
      <w:r>
        <w:t>dalyko pagal gydytojo rekomendaciją ir gimnazijos direktoriaus įsakymą. Pusmečių/metiniai pažymiai, kai pasiekimų lygis yra ,,atleista”:</w:t>
      </w:r>
    </w:p>
    <w:tbl>
      <w:tblPr>
        <w:tblStyle w:val="a1"/>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4"/>
        <w:gridCol w:w="3324"/>
        <w:gridCol w:w="2808"/>
      </w:tblGrid>
      <w:tr w:rsidR="005C5EFB">
        <w:trPr>
          <w:trHeight w:val="40"/>
        </w:trPr>
        <w:tc>
          <w:tcPr>
            <w:tcW w:w="3324" w:type="dxa"/>
            <w:shd w:val="clear" w:color="auto" w:fill="auto"/>
            <w:tcMar>
              <w:top w:w="100" w:type="dxa"/>
              <w:left w:w="100" w:type="dxa"/>
              <w:bottom w:w="100" w:type="dxa"/>
              <w:right w:w="100" w:type="dxa"/>
            </w:tcMar>
          </w:tcPr>
          <w:p w:rsidR="005C5EFB" w:rsidRDefault="00D91E7E">
            <w:pPr>
              <w:jc w:val="center"/>
              <w:rPr>
                <w:b/>
              </w:rPr>
            </w:pPr>
            <w:r>
              <w:rPr>
                <w:b/>
              </w:rPr>
              <w:t>I pusmetis</w:t>
            </w:r>
          </w:p>
        </w:tc>
        <w:tc>
          <w:tcPr>
            <w:tcW w:w="3324" w:type="dxa"/>
            <w:shd w:val="clear" w:color="auto" w:fill="auto"/>
            <w:tcMar>
              <w:top w:w="100" w:type="dxa"/>
              <w:left w:w="100" w:type="dxa"/>
              <w:bottom w:w="100" w:type="dxa"/>
              <w:right w:w="100" w:type="dxa"/>
            </w:tcMar>
          </w:tcPr>
          <w:p w:rsidR="005C5EFB" w:rsidRDefault="00D91E7E">
            <w:pPr>
              <w:jc w:val="center"/>
              <w:rPr>
                <w:b/>
              </w:rPr>
            </w:pPr>
            <w:r>
              <w:rPr>
                <w:b/>
              </w:rPr>
              <w:t>II pusmetis</w:t>
            </w:r>
          </w:p>
        </w:tc>
        <w:tc>
          <w:tcPr>
            <w:tcW w:w="2808" w:type="dxa"/>
            <w:shd w:val="clear" w:color="auto" w:fill="auto"/>
            <w:tcMar>
              <w:top w:w="100" w:type="dxa"/>
              <w:left w:w="100" w:type="dxa"/>
              <w:bottom w:w="100" w:type="dxa"/>
              <w:right w:w="100" w:type="dxa"/>
            </w:tcMar>
          </w:tcPr>
          <w:p w:rsidR="005C5EFB" w:rsidRDefault="00D91E7E">
            <w:pPr>
              <w:jc w:val="center"/>
              <w:rPr>
                <w:b/>
              </w:rPr>
            </w:pPr>
            <w:r>
              <w:rPr>
                <w:b/>
              </w:rPr>
              <w:t xml:space="preserve">Metinis </w:t>
            </w:r>
          </w:p>
        </w:tc>
      </w:tr>
      <w:tr w:rsidR="005C5EFB">
        <w:trPr>
          <w:trHeight w:val="260"/>
        </w:trPr>
        <w:tc>
          <w:tcPr>
            <w:tcW w:w="3324" w:type="dxa"/>
            <w:shd w:val="clear" w:color="auto" w:fill="auto"/>
            <w:tcMar>
              <w:top w:w="100" w:type="dxa"/>
              <w:left w:w="100" w:type="dxa"/>
              <w:bottom w:w="100" w:type="dxa"/>
              <w:right w:w="100" w:type="dxa"/>
            </w:tcMar>
          </w:tcPr>
          <w:p w:rsidR="005C5EFB" w:rsidRDefault="00D91E7E">
            <w:r>
              <w:t xml:space="preserve">Atleista </w:t>
            </w:r>
          </w:p>
        </w:tc>
        <w:tc>
          <w:tcPr>
            <w:tcW w:w="3324" w:type="dxa"/>
            <w:shd w:val="clear" w:color="auto" w:fill="auto"/>
            <w:tcMar>
              <w:top w:w="100" w:type="dxa"/>
              <w:left w:w="100" w:type="dxa"/>
              <w:bottom w:w="100" w:type="dxa"/>
              <w:right w:w="100" w:type="dxa"/>
            </w:tcMar>
          </w:tcPr>
          <w:p w:rsidR="005C5EFB" w:rsidRDefault="00D91E7E">
            <w:r>
              <w:t>Pažymys arba įskaityta</w:t>
            </w:r>
          </w:p>
        </w:tc>
        <w:tc>
          <w:tcPr>
            <w:tcW w:w="2808" w:type="dxa"/>
            <w:shd w:val="clear" w:color="auto" w:fill="auto"/>
            <w:tcMar>
              <w:top w:w="100" w:type="dxa"/>
              <w:left w:w="100" w:type="dxa"/>
              <w:bottom w:w="100" w:type="dxa"/>
              <w:right w:w="100" w:type="dxa"/>
            </w:tcMar>
          </w:tcPr>
          <w:p w:rsidR="005C5EFB" w:rsidRDefault="00D91E7E">
            <w:r>
              <w:t>Pažymys arba įskaityta</w:t>
            </w:r>
          </w:p>
        </w:tc>
      </w:tr>
      <w:tr w:rsidR="005C5EFB">
        <w:trPr>
          <w:trHeight w:val="180"/>
        </w:trPr>
        <w:tc>
          <w:tcPr>
            <w:tcW w:w="3324" w:type="dxa"/>
            <w:shd w:val="clear" w:color="auto" w:fill="auto"/>
            <w:tcMar>
              <w:top w:w="100" w:type="dxa"/>
              <w:left w:w="100" w:type="dxa"/>
              <w:bottom w:w="100" w:type="dxa"/>
              <w:right w:w="100" w:type="dxa"/>
            </w:tcMar>
          </w:tcPr>
          <w:p w:rsidR="005C5EFB" w:rsidRDefault="00D91E7E">
            <w:r>
              <w:t>Pažymys arba Įskaityta</w:t>
            </w:r>
          </w:p>
        </w:tc>
        <w:tc>
          <w:tcPr>
            <w:tcW w:w="3324" w:type="dxa"/>
            <w:shd w:val="clear" w:color="auto" w:fill="auto"/>
            <w:tcMar>
              <w:top w:w="100" w:type="dxa"/>
              <w:left w:w="100" w:type="dxa"/>
              <w:bottom w:w="100" w:type="dxa"/>
              <w:right w:w="100" w:type="dxa"/>
            </w:tcMar>
          </w:tcPr>
          <w:p w:rsidR="005C5EFB" w:rsidRDefault="00D91E7E">
            <w:r>
              <w:t>Atleista</w:t>
            </w:r>
          </w:p>
        </w:tc>
        <w:tc>
          <w:tcPr>
            <w:tcW w:w="2808" w:type="dxa"/>
            <w:shd w:val="clear" w:color="auto" w:fill="auto"/>
            <w:tcMar>
              <w:top w:w="100" w:type="dxa"/>
              <w:left w:w="100" w:type="dxa"/>
              <w:bottom w:w="100" w:type="dxa"/>
              <w:right w:w="100" w:type="dxa"/>
            </w:tcMar>
          </w:tcPr>
          <w:p w:rsidR="005C5EFB" w:rsidRDefault="00D91E7E">
            <w:r>
              <w:t>Atleista</w:t>
            </w:r>
          </w:p>
        </w:tc>
      </w:tr>
      <w:tr w:rsidR="005C5EFB">
        <w:trPr>
          <w:trHeight w:val="560"/>
        </w:trPr>
        <w:tc>
          <w:tcPr>
            <w:tcW w:w="3324" w:type="dxa"/>
            <w:shd w:val="clear" w:color="auto" w:fill="auto"/>
            <w:tcMar>
              <w:top w:w="100" w:type="dxa"/>
              <w:left w:w="100" w:type="dxa"/>
              <w:bottom w:w="100" w:type="dxa"/>
              <w:right w:w="100" w:type="dxa"/>
            </w:tcMar>
          </w:tcPr>
          <w:p w:rsidR="005C5EFB" w:rsidRDefault="00D91E7E">
            <w:r>
              <w:t xml:space="preserve">Atleista </w:t>
            </w:r>
          </w:p>
        </w:tc>
        <w:tc>
          <w:tcPr>
            <w:tcW w:w="3324" w:type="dxa"/>
            <w:shd w:val="clear" w:color="auto" w:fill="auto"/>
            <w:tcMar>
              <w:top w:w="100" w:type="dxa"/>
              <w:left w:w="100" w:type="dxa"/>
              <w:bottom w:w="100" w:type="dxa"/>
              <w:right w:w="100" w:type="dxa"/>
            </w:tcMar>
          </w:tcPr>
          <w:p w:rsidR="005C5EFB" w:rsidRDefault="00D91E7E">
            <w:r>
              <w:t>Neigiamas pažymys arba neįskaityta</w:t>
            </w:r>
          </w:p>
        </w:tc>
        <w:tc>
          <w:tcPr>
            <w:tcW w:w="2808" w:type="dxa"/>
            <w:shd w:val="clear" w:color="auto" w:fill="auto"/>
            <w:tcMar>
              <w:top w:w="100" w:type="dxa"/>
              <w:left w:w="100" w:type="dxa"/>
              <w:bottom w:w="100" w:type="dxa"/>
              <w:right w:w="100" w:type="dxa"/>
            </w:tcMar>
          </w:tcPr>
          <w:p w:rsidR="005C5EFB" w:rsidRDefault="00D91E7E">
            <w:r>
              <w:t>Neigiamas pažymys arba neįskaityta</w:t>
            </w:r>
          </w:p>
        </w:tc>
      </w:tr>
      <w:tr w:rsidR="005C5EFB">
        <w:trPr>
          <w:trHeight w:val="160"/>
        </w:trPr>
        <w:tc>
          <w:tcPr>
            <w:tcW w:w="3324" w:type="dxa"/>
            <w:shd w:val="clear" w:color="auto" w:fill="auto"/>
            <w:tcMar>
              <w:top w:w="100" w:type="dxa"/>
              <w:left w:w="100" w:type="dxa"/>
              <w:bottom w:w="100" w:type="dxa"/>
              <w:right w:w="100" w:type="dxa"/>
            </w:tcMar>
          </w:tcPr>
          <w:p w:rsidR="005C5EFB" w:rsidRDefault="00D91E7E">
            <w:r>
              <w:t>Neigiamas pažymys arba neįskaityta</w:t>
            </w:r>
          </w:p>
        </w:tc>
        <w:tc>
          <w:tcPr>
            <w:tcW w:w="3324" w:type="dxa"/>
            <w:shd w:val="clear" w:color="auto" w:fill="auto"/>
            <w:tcMar>
              <w:top w:w="100" w:type="dxa"/>
              <w:left w:w="100" w:type="dxa"/>
              <w:bottom w:w="100" w:type="dxa"/>
              <w:right w:w="100" w:type="dxa"/>
            </w:tcMar>
          </w:tcPr>
          <w:p w:rsidR="005C5EFB" w:rsidRDefault="00D91E7E">
            <w:r>
              <w:t xml:space="preserve">Atleista </w:t>
            </w:r>
          </w:p>
        </w:tc>
        <w:tc>
          <w:tcPr>
            <w:tcW w:w="2808" w:type="dxa"/>
            <w:shd w:val="clear" w:color="auto" w:fill="auto"/>
            <w:tcMar>
              <w:top w:w="100" w:type="dxa"/>
              <w:left w:w="100" w:type="dxa"/>
              <w:bottom w:w="100" w:type="dxa"/>
              <w:right w:w="100" w:type="dxa"/>
            </w:tcMar>
          </w:tcPr>
          <w:p w:rsidR="005C5EFB" w:rsidRDefault="00D91E7E">
            <w:r>
              <w:t xml:space="preserve">Atleista </w:t>
            </w:r>
          </w:p>
        </w:tc>
      </w:tr>
    </w:tbl>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11. Mokinių žinios vertinamos atsižvelgiant į savaitinių pamokų skaičių  ir  privalomus atsiskaityti darbus:</w:t>
      </w:r>
    </w:p>
    <w:p w:rsidR="005C5EFB" w:rsidRDefault="00D91E7E">
      <w:pPr>
        <w:ind w:firstLine="720"/>
        <w:jc w:val="both"/>
      </w:pPr>
      <w:r>
        <w:t>11.1. vertinimas turi būti sistemingas, tolygus; formalaus vertinimo dažnis:</w:t>
      </w:r>
    </w:p>
    <w:tbl>
      <w:tblPr>
        <w:tblStyle w:val="a2"/>
        <w:tblW w:w="94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2"/>
        <w:gridCol w:w="805"/>
        <w:gridCol w:w="851"/>
        <w:gridCol w:w="709"/>
        <w:gridCol w:w="708"/>
        <w:gridCol w:w="851"/>
        <w:gridCol w:w="612"/>
      </w:tblGrid>
      <w:tr w:rsidR="005C5EFB">
        <w:trPr>
          <w:jc w:val="center"/>
        </w:trPr>
        <w:tc>
          <w:tcPr>
            <w:tcW w:w="4912" w:type="dxa"/>
          </w:tcPr>
          <w:p w:rsidR="005C5EFB" w:rsidRDefault="00D91E7E" w:rsidP="000B2F15">
            <w:r>
              <w:t>Pamokų per savaitę skaičius</w:t>
            </w:r>
          </w:p>
        </w:tc>
        <w:tc>
          <w:tcPr>
            <w:tcW w:w="805" w:type="dxa"/>
          </w:tcPr>
          <w:p w:rsidR="005C5EFB" w:rsidRDefault="00D91E7E">
            <w:pPr>
              <w:jc w:val="center"/>
            </w:pPr>
            <w:r>
              <w:t>1</w:t>
            </w:r>
          </w:p>
        </w:tc>
        <w:tc>
          <w:tcPr>
            <w:tcW w:w="851" w:type="dxa"/>
          </w:tcPr>
          <w:p w:rsidR="005C5EFB" w:rsidRDefault="00D91E7E">
            <w:pPr>
              <w:jc w:val="center"/>
            </w:pPr>
            <w:r>
              <w:t>2</w:t>
            </w:r>
          </w:p>
        </w:tc>
        <w:tc>
          <w:tcPr>
            <w:tcW w:w="709" w:type="dxa"/>
          </w:tcPr>
          <w:p w:rsidR="005C5EFB" w:rsidRDefault="00D91E7E">
            <w:pPr>
              <w:jc w:val="center"/>
            </w:pPr>
            <w:r>
              <w:t>3</w:t>
            </w:r>
          </w:p>
        </w:tc>
        <w:tc>
          <w:tcPr>
            <w:tcW w:w="708" w:type="dxa"/>
          </w:tcPr>
          <w:p w:rsidR="005C5EFB" w:rsidRDefault="00D91E7E">
            <w:pPr>
              <w:jc w:val="center"/>
            </w:pPr>
            <w:r>
              <w:t>4</w:t>
            </w:r>
          </w:p>
        </w:tc>
        <w:tc>
          <w:tcPr>
            <w:tcW w:w="851" w:type="dxa"/>
          </w:tcPr>
          <w:p w:rsidR="005C5EFB" w:rsidRDefault="00D91E7E">
            <w:pPr>
              <w:jc w:val="center"/>
            </w:pPr>
            <w:r>
              <w:t>5</w:t>
            </w:r>
          </w:p>
        </w:tc>
        <w:tc>
          <w:tcPr>
            <w:tcW w:w="612" w:type="dxa"/>
          </w:tcPr>
          <w:p w:rsidR="005C5EFB" w:rsidRDefault="00D91E7E">
            <w:pPr>
              <w:jc w:val="center"/>
            </w:pPr>
            <w:r>
              <w:t>6</w:t>
            </w:r>
          </w:p>
        </w:tc>
      </w:tr>
      <w:tr w:rsidR="005C5EFB">
        <w:trPr>
          <w:jc w:val="center"/>
        </w:trPr>
        <w:tc>
          <w:tcPr>
            <w:tcW w:w="4912" w:type="dxa"/>
          </w:tcPr>
          <w:p w:rsidR="005C5EFB" w:rsidRDefault="00D91E7E" w:rsidP="000B2F15">
            <w:r>
              <w:t>Minimalus pažymių ar įskaitų  per pusmetį skaičius už privalomus atsiskaityti darbus</w:t>
            </w:r>
          </w:p>
        </w:tc>
        <w:tc>
          <w:tcPr>
            <w:tcW w:w="805" w:type="dxa"/>
          </w:tcPr>
          <w:p w:rsidR="005C5EFB" w:rsidRDefault="00D91E7E">
            <w:pPr>
              <w:jc w:val="center"/>
            </w:pPr>
            <w:r>
              <w:t>3</w:t>
            </w:r>
          </w:p>
        </w:tc>
        <w:tc>
          <w:tcPr>
            <w:tcW w:w="851" w:type="dxa"/>
          </w:tcPr>
          <w:p w:rsidR="005C5EFB" w:rsidRDefault="00D91E7E">
            <w:pPr>
              <w:jc w:val="center"/>
            </w:pPr>
            <w:r>
              <w:t>4</w:t>
            </w:r>
          </w:p>
        </w:tc>
        <w:tc>
          <w:tcPr>
            <w:tcW w:w="709" w:type="dxa"/>
          </w:tcPr>
          <w:p w:rsidR="005C5EFB" w:rsidRDefault="00D91E7E">
            <w:pPr>
              <w:jc w:val="center"/>
            </w:pPr>
            <w:r>
              <w:t>5</w:t>
            </w:r>
          </w:p>
        </w:tc>
        <w:tc>
          <w:tcPr>
            <w:tcW w:w="708" w:type="dxa"/>
          </w:tcPr>
          <w:p w:rsidR="005C5EFB" w:rsidRDefault="00D91E7E">
            <w:pPr>
              <w:jc w:val="center"/>
            </w:pPr>
            <w:r>
              <w:t>6</w:t>
            </w:r>
          </w:p>
        </w:tc>
        <w:tc>
          <w:tcPr>
            <w:tcW w:w="851" w:type="dxa"/>
          </w:tcPr>
          <w:p w:rsidR="005C5EFB" w:rsidRDefault="00D91E7E">
            <w:pPr>
              <w:jc w:val="center"/>
            </w:pPr>
            <w:r>
              <w:t>7</w:t>
            </w:r>
          </w:p>
        </w:tc>
        <w:tc>
          <w:tcPr>
            <w:tcW w:w="612" w:type="dxa"/>
          </w:tcPr>
          <w:p w:rsidR="005C5EFB" w:rsidRDefault="00D91E7E">
            <w:pPr>
              <w:jc w:val="center"/>
            </w:pPr>
            <w:r>
              <w:t>8</w:t>
            </w:r>
          </w:p>
        </w:tc>
      </w:tr>
      <w:tr w:rsidR="005C5EFB">
        <w:trPr>
          <w:jc w:val="center"/>
        </w:trPr>
        <w:tc>
          <w:tcPr>
            <w:tcW w:w="4912" w:type="dxa"/>
          </w:tcPr>
          <w:p w:rsidR="005C5EFB" w:rsidRDefault="00D91E7E" w:rsidP="000B2F15">
            <w:r>
              <w:t xml:space="preserve">Pažymių skaičius per 1-1,5 </w:t>
            </w:r>
            <w:proofErr w:type="spellStart"/>
            <w:r>
              <w:t>mėn</w:t>
            </w:r>
            <w:proofErr w:type="spellEnd"/>
            <w:r>
              <w:t xml:space="preserve">.  </w:t>
            </w:r>
          </w:p>
        </w:tc>
        <w:tc>
          <w:tcPr>
            <w:tcW w:w="805" w:type="dxa"/>
          </w:tcPr>
          <w:p w:rsidR="005C5EFB" w:rsidRDefault="00D91E7E">
            <w:pPr>
              <w:jc w:val="center"/>
            </w:pPr>
            <w:r>
              <w:t>1</w:t>
            </w:r>
          </w:p>
        </w:tc>
        <w:tc>
          <w:tcPr>
            <w:tcW w:w="851" w:type="dxa"/>
          </w:tcPr>
          <w:p w:rsidR="005C5EFB" w:rsidRDefault="00D91E7E">
            <w:pPr>
              <w:jc w:val="center"/>
            </w:pPr>
            <w:r>
              <w:t>1-2</w:t>
            </w:r>
          </w:p>
        </w:tc>
        <w:tc>
          <w:tcPr>
            <w:tcW w:w="709" w:type="dxa"/>
          </w:tcPr>
          <w:p w:rsidR="005C5EFB" w:rsidRDefault="00D91E7E">
            <w:pPr>
              <w:jc w:val="center"/>
            </w:pPr>
            <w:r>
              <w:t>2</w:t>
            </w:r>
          </w:p>
        </w:tc>
        <w:tc>
          <w:tcPr>
            <w:tcW w:w="708" w:type="dxa"/>
          </w:tcPr>
          <w:p w:rsidR="005C5EFB" w:rsidRDefault="00D91E7E">
            <w:pPr>
              <w:jc w:val="center"/>
            </w:pPr>
            <w:r>
              <w:t>2</w:t>
            </w:r>
          </w:p>
        </w:tc>
        <w:tc>
          <w:tcPr>
            <w:tcW w:w="851" w:type="dxa"/>
          </w:tcPr>
          <w:p w:rsidR="005C5EFB" w:rsidRDefault="00D91E7E">
            <w:pPr>
              <w:jc w:val="center"/>
            </w:pPr>
            <w:r>
              <w:t>2-3</w:t>
            </w:r>
          </w:p>
        </w:tc>
        <w:tc>
          <w:tcPr>
            <w:tcW w:w="612" w:type="dxa"/>
          </w:tcPr>
          <w:p w:rsidR="005C5EFB" w:rsidRDefault="00D91E7E">
            <w:pPr>
              <w:jc w:val="center"/>
            </w:pPr>
            <w:r>
              <w:t>2-3</w:t>
            </w:r>
          </w:p>
        </w:tc>
      </w:tr>
    </w:tbl>
    <w:p w:rsidR="005C5EFB" w:rsidRDefault="005C5E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rPr>
          <w:color w:val="000000"/>
        </w:rPr>
        <w:t>12. Namuose besimokančių mokinių pasiekimai ir pažanga vertinami  ne rečiau kaip 1 kartą per mėnesį.</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13. Mokytojai privalomų atsiskaityti darbų datas fiksuoja </w:t>
      </w:r>
      <w:proofErr w:type="spellStart"/>
      <w:r>
        <w:t>el</w:t>
      </w:r>
      <w:proofErr w:type="spellEnd"/>
      <w:r>
        <w:t>. dienyne, atsižvelgdami į  jame esantį kontrolinių darbų grafiką ir suderinę su laikinosios grupės ar klasės mokiniais.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13.1. Kontroliniai darbai </w:t>
      </w:r>
      <w:r>
        <w:rPr>
          <w:color w:val="000000"/>
        </w:rPr>
        <w:t>neskiriami</w:t>
      </w:r>
      <w:r>
        <w:t xml:space="preserve">: I ir II pusmečio paskutinę savaitę,  pirmas dvi dienas po atostogų, po ligos, </w:t>
      </w:r>
      <w:r>
        <w:rPr>
          <w:color w:val="000000"/>
        </w:rPr>
        <w:t xml:space="preserve">nerekomenduojami </w:t>
      </w:r>
      <w:r>
        <w:t>po šventinių dienų;</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rPr>
          <w:color w:val="000000"/>
        </w:rPr>
        <w:t xml:space="preserve">13.2. Kontrolinio darbo data pranešama ne vėliau kaip prieš 1 savaitę ir pažymima </w:t>
      </w:r>
      <w:proofErr w:type="spellStart"/>
      <w:r>
        <w:rPr>
          <w:color w:val="000000"/>
        </w:rPr>
        <w:t>el</w:t>
      </w:r>
      <w:proofErr w:type="spellEnd"/>
      <w:r>
        <w:rPr>
          <w:color w:val="000000"/>
        </w:rPr>
        <w:t>. dienyne, reikalui esant tikslinama;</w:t>
      </w:r>
    </w:p>
    <w:p w:rsidR="005C5EFB" w:rsidRDefault="00D91E7E">
      <w:pPr>
        <w:ind w:firstLine="709"/>
        <w:jc w:val="both"/>
      </w:pPr>
      <w:r>
        <w:t>13.3. I–II gimnazijos klasių mokiniams per dieną skiriamas ne daugiau kaip vienas kontrolinis darbas. Kontrolinių darbų skyrimas III–IV klasių mokiniams derinamas su dalyko laikinąja grupe: kontrolinis darbas rašomas, jei laikinojoje grupėje du kontrolinius darbus tą dieną rašo ne daugiau kaip 1/3 grupės mokinių;</w:t>
      </w:r>
    </w:p>
    <w:p w:rsidR="005C5EFB" w:rsidRDefault="00795A4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13.4. Jei mokinys, gavęs</w:t>
      </w:r>
      <w:r w:rsidR="00D91E7E">
        <w:t xml:space="preserve"> neigiamą kontrolinio darbo įvertinimą, </w:t>
      </w:r>
      <w:r>
        <w:t xml:space="preserve">savanoriškai </w:t>
      </w:r>
      <w:r w:rsidR="00D91E7E">
        <w:t>lankė individualias dalyko konsultacijas</w:t>
      </w:r>
      <w:r>
        <w:t xml:space="preserve"> ir jų metu padarė pažangą</w:t>
      </w:r>
      <w:r w:rsidR="00D91E7E">
        <w:t>, jis turi galimybę perrašyti kont</w:t>
      </w:r>
      <w:r>
        <w:t xml:space="preserve">rolinį ar atsiskaitomąjį darbą. </w:t>
      </w:r>
      <w:r w:rsidR="00D91E7E">
        <w:t>Jei 2/3 klasės/grupės mokinių gavo nepatenkinamus įvertinimus, mokytojas su mokiniais suderina perrašymo datą ir laiką. Pažymiai surašomi į pirmą kartą rašyto kontrolinio darbo dieną;</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13.5. Privalomi atsiskaityti darbai įvertinami ir grąžinami per </w:t>
      </w:r>
      <w:r>
        <w:rPr>
          <w:color w:val="000000"/>
        </w:rPr>
        <w:t xml:space="preserve">savaitę </w:t>
      </w:r>
      <w:r>
        <w:t xml:space="preserve">nuo parašymo dienos, o įvertinimai fiksuojami elektroniniame dienyne;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13.6. Kontrolinių darbų sąsiuviniai (aplankai, lapeliai ir </w:t>
      </w:r>
      <w:proofErr w:type="spellStart"/>
      <w:r>
        <w:t>kt</w:t>
      </w:r>
      <w:proofErr w:type="spellEnd"/>
      <w:r>
        <w:t>.) yra laikomi mokinio asmenine nuosavybe;</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13.7. Mokinys, praleidęs  privalomą atsiskaityti  darbą </w:t>
      </w:r>
      <w:r w:rsidR="00795A45">
        <w:t xml:space="preserve">, </w:t>
      </w:r>
      <w:r>
        <w:t>privalo per 2 savaites (10 darbo dienų) atsiskaityti mokytojo nurodytu laiku (įvertinimas įrašomas atsiskaitymo dieną);</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t>13.8. J</w:t>
      </w:r>
      <w:r>
        <w:rPr>
          <w:color w:val="000000"/>
        </w:rPr>
        <w:t>ei I-IV  klasės mokinys sirg</w:t>
      </w:r>
      <w:r w:rsidR="00795A45">
        <w:rPr>
          <w:color w:val="000000"/>
        </w:rPr>
        <w:t>o 1 mėnesį</w:t>
      </w:r>
      <w:r>
        <w:rPr>
          <w:color w:val="000000"/>
        </w:rPr>
        <w:t>, gimnazijos VGK numato, koki</w:t>
      </w:r>
      <w:r>
        <w:t>a</w:t>
      </w:r>
      <w:r>
        <w:rPr>
          <w:color w:val="000000"/>
        </w:rPr>
        <w:t xml:space="preserve"> pagalb</w:t>
      </w:r>
      <w:r>
        <w:t>a ir</w:t>
      </w:r>
      <w:r>
        <w:rPr>
          <w:color w:val="000000"/>
        </w:rPr>
        <w:t xml:space="preserve"> kokiam laikotarpiui bus suteikiama mokiniui.  </w:t>
      </w:r>
      <w:r>
        <w:t xml:space="preserve">Klasės vadovas apie mokiniui siūloma mokymosi pagalbą informuoja mokinio tėvus (globėjus, rūpintojus) per </w:t>
      </w:r>
      <w:proofErr w:type="spellStart"/>
      <w:r>
        <w:t>el</w:t>
      </w:r>
      <w:proofErr w:type="spellEnd"/>
      <w:r>
        <w:t>. dienyną TAMO;</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rPr>
      </w:pPr>
      <w:r>
        <w:lastRenderedPageBreak/>
        <w:t xml:space="preserve">13.9. Jei mokinys praleido privalomą atsiskaityti darbą ir neatsiskaitė mokytojo nurodytu laiku, rašomas vertinimas „labai blogai“, t. y. ,,1“. </w:t>
      </w:r>
      <w:r>
        <w:rPr>
          <w:color w:val="000000"/>
        </w:rPr>
        <w:t>Įvertinimas įrašomas atsiskaitymo dieną, komentarų skiltyje rašoma „Pažymys už neatsiskaitytą darbą“;</w:t>
      </w:r>
    </w:p>
    <w:p w:rsidR="005C5EFB" w:rsidRDefault="00D91E7E">
      <w:pPr>
        <w:ind w:firstLine="709"/>
        <w:jc w:val="both"/>
      </w:pPr>
      <w:r>
        <w:t xml:space="preserve">13.10. Mokytojo parinktos užduotys kontroliniam darbui turi atitikti visus mokymosi pasiekimų lygius (50 </w:t>
      </w:r>
      <w:proofErr w:type="spellStart"/>
      <w:r>
        <w:t>proc</w:t>
      </w:r>
      <w:proofErr w:type="spellEnd"/>
      <w:r>
        <w:t xml:space="preserve">. užduočių turi atitikti  patenkinamą, 30 </w:t>
      </w:r>
      <w:proofErr w:type="spellStart"/>
      <w:r>
        <w:t>proc</w:t>
      </w:r>
      <w:proofErr w:type="spellEnd"/>
      <w:r>
        <w:t xml:space="preserve">. – pagrindinį, 20 </w:t>
      </w:r>
      <w:proofErr w:type="spellStart"/>
      <w:r>
        <w:t>proc</w:t>
      </w:r>
      <w:proofErr w:type="spellEnd"/>
      <w:r>
        <w:t>. –  aukštesnįjį lygį), prie kiekvienos užduoties ar klausimo rekomenduojama nurodyti taškus;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13.11. Nesąžiningai atliktas (naudojantis mobiliuoju telefonu, medžiaga iš interneto, nusirašytas  ir  </w:t>
      </w:r>
      <w:proofErr w:type="spellStart"/>
      <w:r>
        <w:t>pan</w:t>
      </w:r>
      <w:proofErr w:type="spellEnd"/>
      <w:r>
        <w:t>.) kūrybinis, kontrolinis ar kitas privalomas atsiskaityti darbas netaisomas ir vertinamas „labai blogai“, t. y. ,,1“;</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13.12.  Neįskaitomai, neaiškiai parašytas darbas vertinamas „labai blogai“, t. y. ,, 1“.</w:t>
      </w:r>
    </w:p>
    <w:p w:rsidR="005C5EFB" w:rsidRDefault="00D91E7E">
      <w:pPr>
        <w:ind w:firstLine="720"/>
        <w:jc w:val="both"/>
        <w:rPr>
          <w:color w:val="000000"/>
        </w:rPr>
      </w:pPr>
      <w:r>
        <w:rPr>
          <w:color w:val="000000"/>
        </w:rPr>
        <w:t xml:space="preserve">14. Gimnazija, siekdama padėti kiekvienam mokiniui pagal išgales pasiekti aukštesnių </w:t>
      </w:r>
      <w:proofErr w:type="spellStart"/>
      <w:r>
        <w:rPr>
          <w:color w:val="000000"/>
        </w:rPr>
        <w:t>ugdymo(si</w:t>
      </w:r>
      <w:proofErr w:type="spellEnd"/>
      <w:r>
        <w:rPr>
          <w:color w:val="000000"/>
        </w:rPr>
        <w:t>) rezultatų, susitaria:</w:t>
      </w:r>
    </w:p>
    <w:p w:rsidR="005C5EFB" w:rsidRDefault="00D91E7E">
      <w:pPr>
        <w:ind w:firstLine="720"/>
        <w:jc w:val="both"/>
        <w:rPr>
          <w:color w:val="000000"/>
        </w:rPr>
      </w:pPr>
      <w:r>
        <w:rPr>
          <w:color w:val="000000"/>
        </w:rPr>
        <w:t>14.1. mokytojas su mokiniais per pirmąsias dalyko ir dalyko modulio pamokas aptaria mokytojo taikomą vertinimo ir įsivertinimo sistemą;</w:t>
      </w:r>
    </w:p>
    <w:p w:rsidR="005C5EFB" w:rsidRDefault="00D91E7E">
      <w:pPr>
        <w:ind w:firstLine="720"/>
        <w:jc w:val="both"/>
        <w:rPr>
          <w:color w:val="000000"/>
        </w:rPr>
      </w:pPr>
      <w:r>
        <w:rPr>
          <w:color w:val="000000"/>
        </w:rPr>
        <w:t>14.2. kiekvienas mokytojas dalyko ilgalaikiame plane, individualioje ar modulio programoje  numato vertinti privalomus darbus ir laikotarpius. Paliekama galimybė vertinimo užduotis ir atsiskaitymo laikotarpius koreguoti, atsižvelgiant į mokymosi situaciją;</w:t>
      </w:r>
    </w:p>
    <w:p w:rsidR="005C5EFB" w:rsidRDefault="00D91E7E">
      <w:pPr>
        <w:ind w:firstLine="720"/>
        <w:jc w:val="both"/>
        <w:rPr>
          <w:color w:val="000000"/>
        </w:rPr>
      </w:pPr>
      <w:r>
        <w:rPr>
          <w:color w:val="000000"/>
        </w:rPr>
        <w:t xml:space="preserve">14.3. individuali mokytojo vertinimo sistema viešai skelbiama mokytojo kabinete. Pažangos ir pasiekimų vertinimo kriterijai (pagal ką vertinsime) ir rodikliai (kas rodo, kad atitinka kriterijus) konkretizuojami formuluojant pamokos uždavinį; </w:t>
      </w:r>
    </w:p>
    <w:p w:rsidR="005C5EFB" w:rsidRDefault="00D91E7E">
      <w:pPr>
        <w:ind w:firstLine="720"/>
        <w:jc w:val="both"/>
        <w:rPr>
          <w:color w:val="000000"/>
        </w:rPr>
      </w:pPr>
      <w:r>
        <w:rPr>
          <w:color w:val="000000"/>
        </w:rPr>
        <w:t>14.4. planuodami integruotas pamokas, projektus dalykų mokytojai numato bendrus pasiekimų vertinimo kriterijus;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14.5. prieš kiekvieną vertinamą darbą dalyko mokytojas supažindina mokinius su šio darbo vertinimo kriterijais. Rekomenduojama užduotis pateikti taip, kad mokiniai žinotų kiekvienos užduoties ar klausimo įvertinimą;</w:t>
      </w:r>
    </w:p>
    <w:p w:rsidR="005C5EFB" w:rsidRDefault="00D91E7E">
      <w:pPr>
        <w:ind w:firstLine="720"/>
        <w:jc w:val="both"/>
        <w:rPr>
          <w:color w:val="000000"/>
        </w:rPr>
      </w:pPr>
      <w:r>
        <w:rPr>
          <w:color w:val="000000"/>
        </w:rPr>
        <w:t>14.</w:t>
      </w:r>
      <w:r>
        <w:t>6</w:t>
      </w:r>
      <w:r>
        <w:rPr>
          <w:color w:val="000000"/>
        </w:rPr>
        <w:t>. baigus dalyko programos temą (arba jos dalį), skyrių, prieš paskutinę pamoką vykdomas įsivertinimas ir jo aptarimas, paskutinę pamoką</w:t>
      </w:r>
      <w:r w:rsidR="00795A45">
        <w:rPr>
          <w:color w:val="000000"/>
        </w:rPr>
        <w:t>,</w:t>
      </w:r>
      <w:r>
        <w:rPr>
          <w:color w:val="000000"/>
        </w:rPr>
        <w:t xml:space="preserve"> atsižvelgiant į </w:t>
      </w:r>
      <w:r>
        <w:t>į</w:t>
      </w:r>
      <w:r>
        <w:rPr>
          <w:color w:val="000000"/>
        </w:rPr>
        <w:t>sivertinimo anali</w:t>
      </w:r>
      <w:r>
        <w:t>zę</w:t>
      </w:r>
      <w:r w:rsidR="00795A45">
        <w:t>,</w:t>
      </w:r>
      <w:r>
        <w:t xml:space="preserve"> </w:t>
      </w:r>
      <w:r>
        <w:rPr>
          <w:color w:val="000000"/>
        </w:rPr>
        <w:t xml:space="preserve">mokiniams </w:t>
      </w:r>
      <w:r>
        <w:t>teikiama diferencijuota pagalba</w:t>
      </w:r>
      <w:r>
        <w:rPr>
          <w:color w:val="000000"/>
        </w:rPr>
        <w:t xml:space="preserve">, po </w:t>
      </w:r>
      <w:r>
        <w:t>t</w:t>
      </w:r>
      <w:r>
        <w:rPr>
          <w:color w:val="000000"/>
        </w:rPr>
        <w:t>o rašomas kontrolinis darbas.</w:t>
      </w:r>
    </w:p>
    <w:p w:rsidR="005C5EFB" w:rsidRDefault="00D91E7E">
      <w:pPr>
        <w:ind w:firstLine="709"/>
        <w:jc w:val="both"/>
      </w:pPr>
      <w:r>
        <w:t>15. Jei mokinys per visą ugdymo laikotarpį (pusmetį) neatliko visų  privalomų atsiskaityti  arbų (</w:t>
      </w:r>
      <w:proofErr w:type="spellStart"/>
      <w:r>
        <w:t>pvz</w:t>
      </w:r>
      <w:proofErr w:type="spellEnd"/>
      <w:r>
        <w:t xml:space="preserve">., kontrolinių darbų ir  </w:t>
      </w:r>
      <w:proofErr w:type="spellStart"/>
      <w:r>
        <w:t>kt</w:t>
      </w:r>
      <w:proofErr w:type="spellEnd"/>
      <w:r>
        <w:t>.) be pateisinamos priežasties, nepademonstravo pasiekimų, numatytų pagrindinio ar vidurinio ugdymo bendrosiose programose, mokinio dalyko pusmečio pasiekimai prilyginami žemiausiam 10 balų sistemos įvertinimui „labai blogai“, t. y. ,,1“.</w:t>
      </w:r>
    </w:p>
    <w:p w:rsidR="005C5EFB" w:rsidRDefault="00D91E7E">
      <w:pPr>
        <w:ind w:firstLine="709"/>
        <w:jc w:val="both"/>
        <w:rPr>
          <w:color w:val="000000"/>
        </w:rPr>
      </w:pPr>
      <w:r>
        <w:rPr>
          <w:color w:val="000000"/>
        </w:rPr>
        <w:t xml:space="preserve">16. Jei mokinys neatliko mokyklos numatytu laiku vertinimo užduočių (kontrolinių darbų ir </w:t>
      </w:r>
      <w:proofErr w:type="spellStart"/>
      <w:r>
        <w:rPr>
          <w:color w:val="000000"/>
        </w:rPr>
        <w:t>kt</w:t>
      </w:r>
      <w:proofErr w:type="spellEnd"/>
      <w:r>
        <w:rPr>
          <w:color w:val="000000"/>
        </w:rPr>
        <w:t xml:space="preserve">.) dėl svarbių, mokyklos vadovo įsakymu pateisintų priežasčių (pavyzdžiui, ligos), ugdymo laikotarpio pabaigoje fiksuojamas įrašas „atleista“. Tokiais atvejais mokiniams, sugrįžusiems į ugdymo procesą,  suteikiama reikiama mokymosi pagalba. </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17. Mokiniai, laimėję prizines vietas rajono, savivaldybės ar šalies etapo olimpiadose ir konkursuose, gauna to dalyko aukščiausią įvertinimą (10).</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18. Paskutinės I pusmečio ir II pusmečio dalykų pamokos skiriamos </w:t>
      </w:r>
      <w:r>
        <w:rPr>
          <w:color w:val="000000"/>
        </w:rPr>
        <w:t xml:space="preserve">įsivertinti </w:t>
      </w:r>
      <w:r>
        <w:t>mokinių mokymosi pasiekimus ir pažangą.</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19. Pusmečio rezultatas išvedamas iš visų mokinio pažangos įvertinimų pagal aritmetinį vidurkį. Fiksuojant pusmečio dalyko įvertinimą įrašais „</w:t>
      </w:r>
      <w:proofErr w:type="spellStart"/>
      <w:r>
        <w:t>įsk</w:t>
      </w:r>
      <w:proofErr w:type="spellEnd"/>
      <w:r>
        <w:t>“ arba „</w:t>
      </w:r>
      <w:proofErr w:type="spellStart"/>
      <w:r>
        <w:t>neįsk</w:t>
      </w:r>
      <w:proofErr w:type="spellEnd"/>
      <w:r>
        <w:t>“, atsižvelgiama į tai, kokių įrašų per ugdymo laikotarpį yra daugiau.</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20.  Metinis pažymys vedamas:</w:t>
      </w: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20.1.  iš I ir II pusmečio įvertinimų matematinio vidurkio (apvalinama pagal matematikos taisyklę);</w:t>
      </w:r>
    </w:p>
    <w:p w:rsidR="005C5EFB" w:rsidRDefault="00D91E7E">
      <w:pPr>
        <w:ind w:firstLine="720"/>
        <w:jc w:val="both"/>
      </w:pPr>
      <w:r>
        <w:t xml:space="preserve">20.2. metinis pažymys, kai pasiekimas I ar II pusmetyje yra nepatenkinamas ar neįskaitytas vedami: </w:t>
      </w:r>
    </w:p>
    <w:tbl>
      <w:tblPr>
        <w:tblStyle w:val="a3"/>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365"/>
        <w:gridCol w:w="1630"/>
        <w:gridCol w:w="2976"/>
        <w:gridCol w:w="1985"/>
      </w:tblGrid>
      <w:tr w:rsidR="005C5EFB">
        <w:trPr>
          <w:trHeight w:val="140"/>
        </w:trPr>
        <w:tc>
          <w:tcPr>
            <w:tcW w:w="1500"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jc w:val="center"/>
              <w:rPr>
                <w:b/>
              </w:rPr>
            </w:pPr>
            <w:r>
              <w:rPr>
                <w:b/>
              </w:rPr>
              <w:t>I pusmetis</w:t>
            </w:r>
          </w:p>
        </w:tc>
        <w:tc>
          <w:tcPr>
            <w:tcW w:w="1365"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jc w:val="center"/>
              <w:rPr>
                <w:b/>
              </w:rPr>
            </w:pPr>
            <w:r>
              <w:rPr>
                <w:b/>
              </w:rPr>
              <w:t>II pusmetis</w:t>
            </w:r>
          </w:p>
        </w:tc>
        <w:tc>
          <w:tcPr>
            <w:tcW w:w="1630"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jc w:val="center"/>
              <w:rPr>
                <w:b/>
              </w:rPr>
            </w:pPr>
            <w:r>
              <w:rPr>
                <w:b/>
              </w:rPr>
              <w:t xml:space="preserve">Metinis </w:t>
            </w:r>
          </w:p>
        </w:tc>
        <w:tc>
          <w:tcPr>
            <w:tcW w:w="4961" w:type="dxa"/>
            <w:gridSpan w:val="2"/>
            <w:shd w:val="clear" w:color="auto" w:fill="auto"/>
            <w:tcMar>
              <w:top w:w="100" w:type="dxa"/>
              <w:left w:w="100" w:type="dxa"/>
              <w:bottom w:w="100" w:type="dxa"/>
              <w:right w:w="100" w:type="dxa"/>
            </w:tcMar>
          </w:tcPr>
          <w:p w:rsidR="005C5EFB" w:rsidRDefault="00D91E7E">
            <w:pPr>
              <w:pBdr>
                <w:top w:val="nil"/>
                <w:left w:val="nil"/>
                <w:bottom w:val="nil"/>
                <w:right w:val="nil"/>
                <w:between w:val="nil"/>
              </w:pBdr>
              <w:jc w:val="center"/>
              <w:rPr>
                <w:b/>
              </w:rPr>
            </w:pPr>
            <w:r>
              <w:rPr>
                <w:b/>
              </w:rPr>
              <w:t xml:space="preserve">Pastabos </w:t>
            </w:r>
          </w:p>
        </w:tc>
      </w:tr>
      <w:tr w:rsidR="005C5EFB">
        <w:trPr>
          <w:trHeight w:val="220"/>
        </w:trPr>
        <w:tc>
          <w:tcPr>
            <w:tcW w:w="1500"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 xml:space="preserve">Neįskaityta </w:t>
            </w:r>
          </w:p>
        </w:tc>
        <w:tc>
          <w:tcPr>
            <w:tcW w:w="1365"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Įskaityta</w:t>
            </w:r>
          </w:p>
        </w:tc>
        <w:tc>
          <w:tcPr>
            <w:tcW w:w="1630" w:type="dxa"/>
            <w:shd w:val="clear" w:color="auto" w:fill="auto"/>
            <w:tcMar>
              <w:top w:w="100" w:type="dxa"/>
              <w:left w:w="100" w:type="dxa"/>
              <w:bottom w:w="100" w:type="dxa"/>
              <w:right w:w="100" w:type="dxa"/>
            </w:tcMar>
          </w:tcPr>
          <w:p w:rsidR="005C5EFB" w:rsidRDefault="00D91E7E">
            <w:r>
              <w:t>Įskaityta</w:t>
            </w:r>
          </w:p>
        </w:tc>
        <w:tc>
          <w:tcPr>
            <w:tcW w:w="2976" w:type="dxa"/>
            <w:vMerge w:val="restart"/>
            <w:shd w:val="clear" w:color="auto" w:fill="auto"/>
            <w:tcMar>
              <w:top w:w="100" w:type="dxa"/>
              <w:left w:w="100" w:type="dxa"/>
              <w:bottom w:w="100" w:type="dxa"/>
              <w:right w:w="100" w:type="dxa"/>
            </w:tcMar>
          </w:tcPr>
          <w:p w:rsidR="005C5EFB" w:rsidRDefault="00D91E7E">
            <w:pPr>
              <w:pBdr>
                <w:top w:val="nil"/>
                <w:left w:val="nil"/>
                <w:bottom w:val="nil"/>
                <w:right w:val="nil"/>
                <w:between w:val="nil"/>
              </w:pBdr>
              <w:jc w:val="center"/>
            </w:pPr>
            <w:r>
              <w:t>-</w:t>
            </w:r>
          </w:p>
          <w:p w:rsidR="005C5EFB" w:rsidRDefault="005C5EFB">
            <w:pPr>
              <w:jc w:val="center"/>
            </w:pPr>
          </w:p>
        </w:tc>
        <w:tc>
          <w:tcPr>
            <w:tcW w:w="1985" w:type="dxa"/>
            <w:vMerge w:val="restart"/>
            <w:shd w:val="clear" w:color="auto" w:fill="auto"/>
            <w:tcMar>
              <w:top w:w="100" w:type="dxa"/>
              <w:left w:w="100" w:type="dxa"/>
              <w:bottom w:w="100" w:type="dxa"/>
              <w:right w:w="100" w:type="dxa"/>
            </w:tcMar>
          </w:tcPr>
          <w:p w:rsidR="005C5EFB" w:rsidRDefault="00D91E7E">
            <w:pPr>
              <w:pBdr>
                <w:top w:val="nil"/>
                <w:left w:val="nil"/>
                <w:bottom w:val="nil"/>
                <w:right w:val="nil"/>
                <w:between w:val="nil"/>
              </w:pBdr>
              <w:jc w:val="center"/>
            </w:pPr>
            <w:r>
              <w:lastRenderedPageBreak/>
              <w:t>-</w:t>
            </w:r>
          </w:p>
        </w:tc>
      </w:tr>
      <w:tr w:rsidR="005C5EFB">
        <w:trPr>
          <w:trHeight w:val="140"/>
        </w:trPr>
        <w:tc>
          <w:tcPr>
            <w:tcW w:w="1500" w:type="dxa"/>
            <w:shd w:val="clear" w:color="auto" w:fill="auto"/>
            <w:tcMar>
              <w:top w:w="100" w:type="dxa"/>
              <w:left w:w="100" w:type="dxa"/>
              <w:bottom w:w="100" w:type="dxa"/>
              <w:right w:w="100" w:type="dxa"/>
            </w:tcMar>
          </w:tcPr>
          <w:p w:rsidR="005C5EFB" w:rsidRDefault="00D91E7E">
            <w:r>
              <w:lastRenderedPageBreak/>
              <w:t>Įskaityta</w:t>
            </w:r>
          </w:p>
        </w:tc>
        <w:tc>
          <w:tcPr>
            <w:tcW w:w="1365" w:type="dxa"/>
            <w:shd w:val="clear" w:color="auto" w:fill="auto"/>
            <w:tcMar>
              <w:top w:w="100" w:type="dxa"/>
              <w:left w:w="100" w:type="dxa"/>
              <w:bottom w:w="100" w:type="dxa"/>
              <w:right w:w="100" w:type="dxa"/>
            </w:tcMar>
          </w:tcPr>
          <w:p w:rsidR="005C5EFB" w:rsidRDefault="00D91E7E">
            <w:r>
              <w:t xml:space="preserve">Neįskaityta </w:t>
            </w:r>
          </w:p>
        </w:tc>
        <w:tc>
          <w:tcPr>
            <w:tcW w:w="1630" w:type="dxa"/>
            <w:shd w:val="clear" w:color="auto" w:fill="auto"/>
            <w:tcMar>
              <w:top w:w="100" w:type="dxa"/>
              <w:left w:w="100" w:type="dxa"/>
              <w:bottom w:w="100" w:type="dxa"/>
              <w:right w:w="100" w:type="dxa"/>
            </w:tcMar>
          </w:tcPr>
          <w:p w:rsidR="005C5EFB" w:rsidRDefault="00D91E7E">
            <w:r>
              <w:t>Įskaityta</w:t>
            </w:r>
          </w:p>
        </w:tc>
        <w:tc>
          <w:tcPr>
            <w:tcW w:w="2976" w:type="dxa"/>
            <w:vMerge/>
            <w:shd w:val="clear" w:color="auto" w:fill="auto"/>
            <w:tcMar>
              <w:top w:w="100" w:type="dxa"/>
              <w:left w:w="100" w:type="dxa"/>
              <w:bottom w:w="100" w:type="dxa"/>
              <w:right w:w="100" w:type="dxa"/>
            </w:tcMar>
          </w:tcPr>
          <w:p w:rsidR="005C5EFB" w:rsidRDefault="005C5EFB">
            <w:pPr>
              <w:pBdr>
                <w:top w:val="nil"/>
                <w:left w:val="nil"/>
                <w:bottom w:val="nil"/>
                <w:right w:val="nil"/>
                <w:between w:val="nil"/>
              </w:pBdr>
              <w:spacing w:line="276" w:lineRule="auto"/>
            </w:pPr>
          </w:p>
        </w:tc>
        <w:tc>
          <w:tcPr>
            <w:tcW w:w="1985" w:type="dxa"/>
            <w:vMerge/>
            <w:shd w:val="clear" w:color="auto" w:fill="auto"/>
            <w:tcMar>
              <w:top w:w="100" w:type="dxa"/>
              <w:left w:w="100" w:type="dxa"/>
              <w:bottom w:w="100" w:type="dxa"/>
              <w:right w:w="100" w:type="dxa"/>
            </w:tcMar>
          </w:tcPr>
          <w:p w:rsidR="005C5EFB" w:rsidRDefault="005C5EFB">
            <w:pPr>
              <w:pBdr>
                <w:top w:val="nil"/>
                <w:left w:val="nil"/>
                <w:bottom w:val="nil"/>
                <w:right w:val="nil"/>
                <w:between w:val="nil"/>
              </w:pBdr>
              <w:spacing w:line="276" w:lineRule="auto"/>
            </w:pPr>
          </w:p>
        </w:tc>
      </w:tr>
      <w:tr w:rsidR="005C5EFB">
        <w:trPr>
          <w:trHeight w:val="380"/>
        </w:trPr>
        <w:tc>
          <w:tcPr>
            <w:tcW w:w="1500" w:type="dxa"/>
            <w:shd w:val="clear" w:color="auto" w:fill="auto"/>
            <w:tcMar>
              <w:top w:w="100" w:type="dxa"/>
              <w:left w:w="100" w:type="dxa"/>
              <w:bottom w:w="100" w:type="dxa"/>
              <w:right w:w="100" w:type="dxa"/>
            </w:tcMar>
          </w:tcPr>
          <w:p w:rsidR="005C5EFB" w:rsidRDefault="00D91E7E">
            <w:r>
              <w:lastRenderedPageBreak/>
              <w:t xml:space="preserve">Neįskaityta </w:t>
            </w:r>
          </w:p>
        </w:tc>
        <w:tc>
          <w:tcPr>
            <w:tcW w:w="1365" w:type="dxa"/>
            <w:shd w:val="clear" w:color="auto" w:fill="auto"/>
            <w:tcMar>
              <w:top w:w="100" w:type="dxa"/>
              <w:left w:w="100" w:type="dxa"/>
              <w:bottom w:w="100" w:type="dxa"/>
              <w:right w:w="100" w:type="dxa"/>
            </w:tcMar>
          </w:tcPr>
          <w:p w:rsidR="005C5EFB" w:rsidRDefault="00D91E7E">
            <w:r>
              <w:t xml:space="preserve">Neįskaityta </w:t>
            </w:r>
          </w:p>
        </w:tc>
        <w:tc>
          <w:tcPr>
            <w:tcW w:w="1630" w:type="dxa"/>
            <w:shd w:val="clear" w:color="auto" w:fill="auto"/>
            <w:tcMar>
              <w:top w:w="100" w:type="dxa"/>
              <w:left w:w="100" w:type="dxa"/>
              <w:bottom w:w="100" w:type="dxa"/>
              <w:right w:w="100" w:type="dxa"/>
            </w:tcMar>
          </w:tcPr>
          <w:p w:rsidR="005C5EFB" w:rsidRDefault="00D91E7E">
            <w:r>
              <w:t xml:space="preserve">Neįskaityta </w:t>
            </w:r>
          </w:p>
        </w:tc>
        <w:tc>
          <w:tcPr>
            <w:tcW w:w="2976"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 xml:space="preserve">Skiriamas papildomas darbas </w:t>
            </w:r>
          </w:p>
        </w:tc>
        <w:tc>
          <w:tcPr>
            <w:tcW w:w="1985" w:type="dxa"/>
            <w:vMerge w:val="restart"/>
            <w:shd w:val="clear" w:color="auto" w:fill="auto"/>
            <w:tcMar>
              <w:top w:w="100" w:type="dxa"/>
              <w:left w:w="100" w:type="dxa"/>
              <w:bottom w:w="100" w:type="dxa"/>
              <w:right w:w="100" w:type="dxa"/>
            </w:tcMar>
            <w:vAlign w:val="center"/>
          </w:tcPr>
          <w:p w:rsidR="005C5EFB" w:rsidRDefault="00D91E7E">
            <w:pPr>
              <w:pBdr>
                <w:top w:val="nil"/>
                <w:left w:val="nil"/>
                <w:bottom w:val="nil"/>
                <w:right w:val="nil"/>
                <w:between w:val="nil"/>
              </w:pBdr>
              <w:jc w:val="center"/>
            </w:pPr>
            <w:r>
              <w:t xml:space="preserve">Papildomo darbo įvertinimas laikomas metiniu pažymiu </w:t>
            </w:r>
          </w:p>
        </w:tc>
      </w:tr>
      <w:tr w:rsidR="005C5EFB">
        <w:trPr>
          <w:trHeight w:val="160"/>
        </w:trPr>
        <w:tc>
          <w:tcPr>
            <w:tcW w:w="1500"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1-3</w:t>
            </w:r>
          </w:p>
        </w:tc>
        <w:tc>
          <w:tcPr>
            <w:tcW w:w="1365"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4-10</w:t>
            </w:r>
          </w:p>
        </w:tc>
        <w:tc>
          <w:tcPr>
            <w:tcW w:w="1630" w:type="dxa"/>
            <w:vMerge w:val="restart"/>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I ir II pusmečio vidurkis</w:t>
            </w:r>
          </w:p>
        </w:tc>
        <w:tc>
          <w:tcPr>
            <w:tcW w:w="2976" w:type="dxa"/>
            <w:vMerge w:val="restart"/>
            <w:shd w:val="clear" w:color="auto" w:fill="auto"/>
            <w:tcMar>
              <w:top w:w="100" w:type="dxa"/>
              <w:left w:w="100" w:type="dxa"/>
              <w:bottom w:w="100" w:type="dxa"/>
              <w:right w:w="100" w:type="dxa"/>
            </w:tcMar>
          </w:tcPr>
          <w:p w:rsidR="005C5EFB" w:rsidRDefault="00D91E7E">
            <w:r>
              <w:t>Skiriamas papildomas darbas, jei metinis pažymys 1-3</w:t>
            </w:r>
          </w:p>
        </w:tc>
        <w:tc>
          <w:tcPr>
            <w:tcW w:w="198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220"/>
        </w:trPr>
        <w:tc>
          <w:tcPr>
            <w:tcW w:w="1500"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4-10</w:t>
            </w:r>
          </w:p>
        </w:tc>
        <w:tc>
          <w:tcPr>
            <w:tcW w:w="1365"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1-3</w:t>
            </w:r>
          </w:p>
        </w:tc>
        <w:tc>
          <w:tcPr>
            <w:tcW w:w="1630" w:type="dxa"/>
            <w:vMerge/>
            <w:shd w:val="clear" w:color="auto" w:fill="auto"/>
            <w:tcMar>
              <w:top w:w="100" w:type="dxa"/>
              <w:left w:w="100" w:type="dxa"/>
              <w:bottom w:w="100" w:type="dxa"/>
              <w:right w:w="100" w:type="dxa"/>
            </w:tcMar>
          </w:tcPr>
          <w:p w:rsidR="005C5EFB" w:rsidRDefault="005C5EFB">
            <w:pPr>
              <w:pBdr>
                <w:top w:val="nil"/>
                <w:left w:val="nil"/>
                <w:bottom w:val="nil"/>
                <w:right w:val="nil"/>
                <w:between w:val="nil"/>
              </w:pBdr>
              <w:spacing w:line="276" w:lineRule="auto"/>
            </w:pPr>
          </w:p>
        </w:tc>
        <w:tc>
          <w:tcPr>
            <w:tcW w:w="2976" w:type="dxa"/>
            <w:vMerge/>
            <w:shd w:val="clear" w:color="auto" w:fill="auto"/>
            <w:tcMar>
              <w:top w:w="100" w:type="dxa"/>
              <w:left w:w="100" w:type="dxa"/>
              <w:bottom w:w="100" w:type="dxa"/>
              <w:right w:w="100" w:type="dxa"/>
            </w:tcMar>
          </w:tcPr>
          <w:p w:rsidR="005C5EFB" w:rsidRDefault="005C5EFB">
            <w:pPr>
              <w:pBdr>
                <w:top w:val="nil"/>
                <w:left w:val="nil"/>
                <w:bottom w:val="nil"/>
                <w:right w:val="nil"/>
                <w:between w:val="nil"/>
              </w:pBdr>
              <w:spacing w:line="276" w:lineRule="auto"/>
            </w:pPr>
          </w:p>
        </w:tc>
        <w:tc>
          <w:tcPr>
            <w:tcW w:w="198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r w:rsidR="005C5EFB">
        <w:trPr>
          <w:trHeight w:val="520"/>
        </w:trPr>
        <w:tc>
          <w:tcPr>
            <w:tcW w:w="1500"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1-3</w:t>
            </w:r>
          </w:p>
        </w:tc>
        <w:tc>
          <w:tcPr>
            <w:tcW w:w="1365"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1-3</w:t>
            </w:r>
          </w:p>
        </w:tc>
        <w:tc>
          <w:tcPr>
            <w:tcW w:w="1630" w:type="dxa"/>
            <w:shd w:val="clear" w:color="auto" w:fill="auto"/>
            <w:tcMar>
              <w:top w:w="100" w:type="dxa"/>
              <w:left w:w="100" w:type="dxa"/>
              <w:bottom w:w="100" w:type="dxa"/>
              <w:right w:w="100" w:type="dxa"/>
            </w:tcMar>
          </w:tcPr>
          <w:p w:rsidR="005C5EFB" w:rsidRDefault="00D91E7E">
            <w:pPr>
              <w:pBdr>
                <w:top w:val="nil"/>
                <w:left w:val="nil"/>
                <w:bottom w:val="nil"/>
                <w:right w:val="nil"/>
                <w:between w:val="nil"/>
              </w:pBdr>
            </w:pPr>
            <w:r>
              <w:t>I ir II pusmečio vidurkis</w:t>
            </w:r>
          </w:p>
        </w:tc>
        <w:tc>
          <w:tcPr>
            <w:tcW w:w="2976" w:type="dxa"/>
            <w:shd w:val="clear" w:color="auto" w:fill="auto"/>
            <w:tcMar>
              <w:top w:w="100" w:type="dxa"/>
              <w:left w:w="100" w:type="dxa"/>
              <w:bottom w:w="100" w:type="dxa"/>
              <w:right w:w="100" w:type="dxa"/>
            </w:tcMar>
          </w:tcPr>
          <w:p w:rsidR="005C5EFB" w:rsidRDefault="00D91E7E">
            <w:r>
              <w:t>Skiriamas papildomas darbas arba paliekama kurso kartoti</w:t>
            </w:r>
          </w:p>
        </w:tc>
        <w:tc>
          <w:tcPr>
            <w:tcW w:w="1985" w:type="dxa"/>
            <w:vMerge/>
            <w:shd w:val="clear" w:color="auto" w:fill="auto"/>
            <w:tcMar>
              <w:top w:w="100" w:type="dxa"/>
              <w:left w:w="100" w:type="dxa"/>
              <w:bottom w:w="100" w:type="dxa"/>
              <w:right w:w="100" w:type="dxa"/>
            </w:tcMar>
            <w:vAlign w:val="center"/>
          </w:tcPr>
          <w:p w:rsidR="005C5EFB" w:rsidRDefault="005C5EFB">
            <w:pPr>
              <w:pBdr>
                <w:top w:val="nil"/>
                <w:left w:val="nil"/>
                <w:bottom w:val="nil"/>
                <w:right w:val="nil"/>
                <w:between w:val="nil"/>
              </w:pBdr>
              <w:spacing w:line="276" w:lineRule="auto"/>
            </w:pPr>
          </w:p>
        </w:tc>
      </w:tr>
    </w:tbl>
    <w:p w:rsidR="005C5EFB" w:rsidRDefault="005C5EFB">
      <w:pPr>
        <w:ind w:firstLine="720"/>
        <w:jc w:val="both"/>
      </w:pPr>
    </w:p>
    <w:p w:rsidR="005C5EFB" w:rsidRDefault="00D91E7E">
      <w:pPr>
        <w:ind w:firstLine="720"/>
        <w:jc w:val="both"/>
      </w:pPr>
      <w:r>
        <w:t xml:space="preserve">21. Dėl papildomų darbų tvarkaraščio mokinys tariasi su dalyko mokytoju. Klasės vadovas apie mokiniui skirtus papildomus darbus, jų tvarkaraštį </w:t>
      </w:r>
      <w:r w:rsidR="00795A45">
        <w:t xml:space="preserve">per 3 </w:t>
      </w:r>
      <w:proofErr w:type="spellStart"/>
      <w:r w:rsidR="00795A45">
        <w:t>d.d</w:t>
      </w:r>
      <w:proofErr w:type="spellEnd"/>
      <w:r w:rsidR="00795A45">
        <w:t xml:space="preserve">. nuo sprendimo priėmimo </w:t>
      </w:r>
      <w:r>
        <w:t xml:space="preserve">informuoja mokinio tėvus (globėjus, rūpintojus) per </w:t>
      </w:r>
      <w:proofErr w:type="spellStart"/>
      <w:r>
        <w:t>el</w:t>
      </w:r>
      <w:proofErr w:type="spellEnd"/>
      <w:r>
        <w:t xml:space="preserve">. dienyną TAMO per tris darbo dienas nuo Mokytojų tarybos sprendimo. Atsiskaitymo datą nustato Mokytojų taryba, bet ne vėlesnę kaip rugpjūčio 31 </w:t>
      </w:r>
      <w:proofErr w:type="spellStart"/>
      <w:r>
        <w:t>d</w:t>
      </w:r>
      <w:proofErr w:type="spellEnd"/>
      <w:r>
        <w:t>.</w:t>
      </w:r>
    </w:p>
    <w:p w:rsidR="005C5EFB" w:rsidRDefault="00D91E7E">
      <w:pPr>
        <w:ind w:firstLine="709"/>
        <w:jc w:val="both"/>
      </w:pPr>
      <w:r>
        <w:t xml:space="preserve">22. Mokiniui, kuris pagrindinio ar vidurinio ugdymo programos dalį mokėsi kitoje mokykloje (sanatorijoje), dalyko pusmečio ar metinis įvertinimas fiksuojamas atsižvelgus į </w:t>
      </w:r>
      <w:r>
        <w:rPr>
          <w:color w:val="000000"/>
        </w:rPr>
        <w:t>pateiktą pasiekimų vertinimo informaciją sugrįžus ir į šioje mokykloje atskiru ugdymo laikotarpiu(-</w:t>
      </w:r>
      <w:proofErr w:type="spellStart"/>
      <w:r>
        <w:rPr>
          <w:color w:val="000000"/>
        </w:rPr>
        <w:t>iais</w:t>
      </w:r>
      <w:proofErr w:type="spellEnd"/>
      <w:r>
        <w:rPr>
          <w:color w:val="000000"/>
        </w:rPr>
        <w:t xml:space="preserve">) pasiektus rezultatus. </w:t>
      </w:r>
      <w:r>
        <w:t xml:space="preserve">Jei mokinys kai kurių dalykų nesimokė, sudaroma galimybė pasirengti ir atsiskaityti; mokymosi pasiekimų patikrinimo (įskaitos) rezultatas, fiksuotas ,,įskaityta“ ar pažymiu, laikomas dalyko pusmečio ar metiniu įvertinimu. </w:t>
      </w:r>
    </w:p>
    <w:p w:rsidR="005C5EFB" w:rsidRDefault="00D91E7E">
      <w:pPr>
        <w:ind w:firstLine="720"/>
        <w:jc w:val="both"/>
      </w:pPr>
      <w:r>
        <w:t xml:space="preserve">23. Ilgalaikė 2–3 mėnesių trukmės projektinė veikla vertinama pažymiu. </w:t>
      </w:r>
    </w:p>
    <w:p w:rsidR="005C5EFB" w:rsidRDefault="00D91E7E">
      <w:pPr>
        <w:ind w:firstLine="720"/>
        <w:jc w:val="both"/>
      </w:pPr>
      <w:r>
        <w:t>23.1. Dalyko projektinio darbo ar integruoto projektinio darbo vertinimas:</w:t>
      </w:r>
    </w:p>
    <w:tbl>
      <w:tblPr>
        <w:tblStyle w:val="a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672"/>
      </w:tblGrid>
      <w:tr w:rsidR="005C5EFB">
        <w:tc>
          <w:tcPr>
            <w:tcW w:w="9464" w:type="dxa"/>
            <w:gridSpan w:val="2"/>
          </w:tcPr>
          <w:p w:rsidR="005C5EFB" w:rsidRDefault="00D91E7E">
            <w:pPr>
              <w:spacing w:line="276" w:lineRule="auto"/>
              <w:jc w:val="center"/>
              <w:rPr>
                <w:b/>
              </w:rPr>
            </w:pPr>
            <w:r>
              <w:rPr>
                <w:b/>
              </w:rPr>
              <w:t>Projektinio darbo vadovo vertinimas</w:t>
            </w:r>
          </w:p>
        </w:tc>
      </w:tr>
      <w:tr w:rsidR="005C5EFB">
        <w:tc>
          <w:tcPr>
            <w:tcW w:w="7792" w:type="dxa"/>
          </w:tcPr>
          <w:p w:rsidR="005C5EFB" w:rsidRDefault="00D91E7E">
            <w:pPr>
              <w:spacing w:line="276" w:lineRule="auto"/>
              <w:jc w:val="center"/>
              <w:rPr>
                <w:b/>
                <w:i/>
              </w:rPr>
            </w:pPr>
            <w:r>
              <w:rPr>
                <w:b/>
                <w:i/>
              </w:rPr>
              <w:t>Vertinimo kriterijai</w:t>
            </w:r>
          </w:p>
        </w:tc>
        <w:tc>
          <w:tcPr>
            <w:tcW w:w="1672" w:type="dxa"/>
          </w:tcPr>
          <w:p w:rsidR="005C5EFB" w:rsidRDefault="00D91E7E">
            <w:pPr>
              <w:spacing w:line="276" w:lineRule="auto"/>
              <w:jc w:val="center"/>
              <w:rPr>
                <w:b/>
              </w:rPr>
            </w:pPr>
            <w:r>
              <w:rPr>
                <w:b/>
              </w:rPr>
              <w:t>Vertinimas</w:t>
            </w:r>
          </w:p>
        </w:tc>
      </w:tr>
      <w:tr w:rsidR="005C5EFB">
        <w:trPr>
          <w:trHeight w:val="1820"/>
        </w:trPr>
        <w:tc>
          <w:tcPr>
            <w:tcW w:w="7792" w:type="dxa"/>
          </w:tcPr>
          <w:p w:rsidR="005C5EFB" w:rsidRDefault="00D91E7E">
            <w:pPr>
              <w:widowControl/>
              <w:pBdr>
                <w:top w:val="nil"/>
                <w:left w:val="nil"/>
                <w:bottom w:val="nil"/>
                <w:right w:val="nil"/>
                <w:between w:val="nil"/>
              </w:pBdr>
              <w:jc w:val="both"/>
              <w:rPr>
                <w:color w:val="000000"/>
              </w:rPr>
            </w:pPr>
            <w:r>
              <w:rPr>
                <w:color w:val="000000"/>
              </w:rPr>
              <w:t>1. Turinys</w:t>
            </w:r>
          </w:p>
          <w:p w:rsidR="005C5EFB" w:rsidRDefault="00D91E7E">
            <w:pPr>
              <w:widowControl/>
              <w:pBdr>
                <w:top w:val="nil"/>
                <w:left w:val="nil"/>
                <w:bottom w:val="nil"/>
                <w:right w:val="nil"/>
                <w:between w:val="nil"/>
              </w:pBdr>
              <w:jc w:val="both"/>
              <w:rPr>
                <w:color w:val="000000"/>
              </w:rPr>
            </w:pPr>
            <w:r>
              <w:rPr>
                <w:color w:val="000000"/>
              </w:rPr>
              <w:t xml:space="preserve">1.1. Temos ir problemos aktualumas bei pagrindimas; </w:t>
            </w:r>
          </w:p>
          <w:p w:rsidR="005C5EFB" w:rsidRDefault="00D91E7E">
            <w:pPr>
              <w:spacing w:line="276" w:lineRule="auto"/>
              <w:jc w:val="both"/>
            </w:pPr>
            <w:r>
              <w:t>1.2. Tiriamosios – analitinės, pažintinės, kūrybinės veiklos dalykinis teisingumas ir pateikimo tikslumas, aiškumas, vientisumas;</w:t>
            </w:r>
          </w:p>
          <w:p w:rsidR="005C5EFB" w:rsidRDefault="00D91E7E">
            <w:pPr>
              <w:spacing w:line="276" w:lineRule="auto"/>
              <w:jc w:val="both"/>
            </w:pPr>
            <w:r>
              <w:t>1.3. Argumentavimas (tikslo, uždavinių, išvadų tikslumas, informacinių šaltinių panaudojimas, metodų tinkamumas, kritinis mąstymas)</w:t>
            </w:r>
          </w:p>
        </w:tc>
        <w:tc>
          <w:tcPr>
            <w:tcW w:w="1672" w:type="dxa"/>
          </w:tcPr>
          <w:p w:rsidR="005C5EFB" w:rsidRDefault="005C5EFB">
            <w:pPr>
              <w:spacing w:line="276" w:lineRule="auto"/>
              <w:jc w:val="both"/>
            </w:pPr>
          </w:p>
          <w:p w:rsidR="005C5EFB" w:rsidRDefault="00D91E7E">
            <w:pPr>
              <w:spacing w:line="276" w:lineRule="auto"/>
              <w:jc w:val="both"/>
            </w:pPr>
            <w:r>
              <w:t>0-2 balai</w:t>
            </w:r>
          </w:p>
          <w:p w:rsidR="005C5EFB" w:rsidRDefault="00D91E7E">
            <w:pPr>
              <w:spacing w:line="276" w:lineRule="auto"/>
              <w:jc w:val="both"/>
            </w:pPr>
            <w:r>
              <w:t>0-2 balai</w:t>
            </w:r>
          </w:p>
          <w:p w:rsidR="005C5EFB" w:rsidRDefault="005C5EFB">
            <w:pPr>
              <w:spacing w:line="276" w:lineRule="auto"/>
              <w:jc w:val="both"/>
            </w:pPr>
          </w:p>
          <w:p w:rsidR="005C5EFB" w:rsidRDefault="00D91E7E">
            <w:pPr>
              <w:spacing w:line="276" w:lineRule="auto"/>
              <w:jc w:val="both"/>
            </w:pPr>
            <w:r>
              <w:t>0-2 balai</w:t>
            </w:r>
          </w:p>
        </w:tc>
      </w:tr>
      <w:tr w:rsidR="005C5EFB">
        <w:tc>
          <w:tcPr>
            <w:tcW w:w="7792" w:type="dxa"/>
          </w:tcPr>
          <w:p w:rsidR="005C5EFB" w:rsidRDefault="00D91E7E">
            <w:pPr>
              <w:spacing w:line="276" w:lineRule="auto"/>
              <w:jc w:val="both"/>
            </w:pPr>
            <w:r>
              <w:t>2. Struktūra (yra visos reikiamos struktūrinės dalys –</w:t>
            </w:r>
            <w:r w:rsidR="000B2F15">
              <w:t xml:space="preserve"> </w:t>
            </w:r>
            <w:bookmarkStart w:id="0" w:name="_GoBack"/>
            <w:bookmarkEnd w:id="0"/>
            <w:r>
              <w:t>įvadas, tikslas, uždaviniai, duomenų analizė, išvados, naudota literatūra;  išlaikytas dalių vientisumas ir  nuoseklumas)</w:t>
            </w:r>
          </w:p>
        </w:tc>
        <w:tc>
          <w:tcPr>
            <w:tcW w:w="1672" w:type="dxa"/>
          </w:tcPr>
          <w:p w:rsidR="005C5EFB" w:rsidRDefault="00D91E7E">
            <w:pPr>
              <w:spacing w:line="276" w:lineRule="auto"/>
              <w:jc w:val="both"/>
            </w:pPr>
            <w:r>
              <w:t>0-2 balai</w:t>
            </w:r>
          </w:p>
        </w:tc>
      </w:tr>
      <w:tr w:rsidR="005C5EFB">
        <w:tc>
          <w:tcPr>
            <w:tcW w:w="7792" w:type="dxa"/>
          </w:tcPr>
          <w:p w:rsidR="005C5EFB" w:rsidRDefault="00D91E7E">
            <w:pPr>
              <w:spacing w:line="276" w:lineRule="auto"/>
              <w:jc w:val="both"/>
            </w:pPr>
            <w:r>
              <w:t>3. Kalbos vartojimas (stilius, gramatika, rašyba, skyryba)</w:t>
            </w:r>
          </w:p>
        </w:tc>
        <w:tc>
          <w:tcPr>
            <w:tcW w:w="1672" w:type="dxa"/>
          </w:tcPr>
          <w:p w:rsidR="005C5EFB" w:rsidRDefault="00D91E7E">
            <w:pPr>
              <w:spacing w:line="276" w:lineRule="auto"/>
              <w:jc w:val="both"/>
            </w:pPr>
            <w:r>
              <w:t>0-2 balai</w:t>
            </w:r>
          </w:p>
        </w:tc>
      </w:tr>
      <w:tr w:rsidR="005C5EFB">
        <w:tc>
          <w:tcPr>
            <w:tcW w:w="7792" w:type="dxa"/>
          </w:tcPr>
          <w:p w:rsidR="005C5EFB" w:rsidRDefault="00D91E7E">
            <w:pPr>
              <w:pBdr>
                <w:top w:val="nil"/>
                <w:left w:val="nil"/>
                <w:bottom w:val="nil"/>
                <w:right w:val="nil"/>
                <w:between w:val="nil"/>
              </w:pBdr>
              <w:spacing w:line="276" w:lineRule="auto"/>
              <w:ind w:left="720" w:hanging="720"/>
              <w:jc w:val="right"/>
              <w:rPr>
                <w:b/>
                <w:color w:val="000000"/>
              </w:rPr>
            </w:pPr>
            <w:r>
              <w:rPr>
                <w:b/>
                <w:color w:val="000000"/>
              </w:rPr>
              <w:t>Galutinis įvertinimas</w:t>
            </w:r>
          </w:p>
        </w:tc>
        <w:tc>
          <w:tcPr>
            <w:tcW w:w="1672" w:type="dxa"/>
          </w:tcPr>
          <w:p w:rsidR="005C5EFB" w:rsidRDefault="00D91E7E">
            <w:pPr>
              <w:spacing w:line="276" w:lineRule="auto"/>
              <w:jc w:val="both"/>
              <w:rPr>
                <w:b/>
              </w:rPr>
            </w:pPr>
            <w:r>
              <w:rPr>
                <w:b/>
              </w:rPr>
              <w:t>0-10 balų</w:t>
            </w:r>
          </w:p>
        </w:tc>
      </w:tr>
    </w:tbl>
    <w:p w:rsidR="005C5EFB" w:rsidRDefault="005C5EFB">
      <w:pPr>
        <w:jc w:val="both"/>
      </w:pPr>
    </w:p>
    <w:tbl>
      <w:tblPr>
        <w:tblStyle w:val="a5"/>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672"/>
      </w:tblGrid>
      <w:tr w:rsidR="005C5EFB">
        <w:tc>
          <w:tcPr>
            <w:tcW w:w="9464" w:type="dxa"/>
            <w:gridSpan w:val="2"/>
          </w:tcPr>
          <w:p w:rsidR="005C5EFB" w:rsidRDefault="00D91E7E">
            <w:pPr>
              <w:tabs>
                <w:tab w:val="left" w:pos="8040"/>
              </w:tabs>
              <w:spacing w:line="276" w:lineRule="auto"/>
              <w:jc w:val="center"/>
              <w:rPr>
                <w:b/>
              </w:rPr>
            </w:pPr>
            <w:r>
              <w:rPr>
                <w:b/>
              </w:rPr>
              <w:t>Projektinio darbo pristatymo vertinimas</w:t>
            </w:r>
          </w:p>
        </w:tc>
      </w:tr>
      <w:tr w:rsidR="005C5EFB">
        <w:tc>
          <w:tcPr>
            <w:tcW w:w="7792" w:type="dxa"/>
          </w:tcPr>
          <w:p w:rsidR="005C5EFB" w:rsidRDefault="00D91E7E">
            <w:pPr>
              <w:spacing w:line="276" w:lineRule="auto"/>
              <w:jc w:val="center"/>
              <w:rPr>
                <w:b/>
                <w:i/>
              </w:rPr>
            </w:pPr>
            <w:r>
              <w:rPr>
                <w:b/>
                <w:i/>
              </w:rPr>
              <w:t>Vertinimo kriterijai</w:t>
            </w:r>
          </w:p>
        </w:tc>
        <w:tc>
          <w:tcPr>
            <w:tcW w:w="1672" w:type="dxa"/>
          </w:tcPr>
          <w:p w:rsidR="005C5EFB" w:rsidRDefault="00D91E7E">
            <w:pPr>
              <w:spacing w:line="276" w:lineRule="auto"/>
              <w:jc w:val="center"/>
              <w:rPr>
                <w:b/>
              </w:rPr>
            </w:pPr>
            <w:r>
              <w:rPr>
                <w:b/>
              </w:rPr>
              <w:t>Vertinimas</w:t>
            </w:r>
          </w:p>
        </w:tc>
      </w:tr>
      <w:tr w:rsidR="005C5EFB">
        <w:tc>
          <w:tcPr>
            <w:tcW w:w="7792" w:type="dxa"/>
          </w:tcPr>
          <w:p w:rsidR="005C5EFB" w:rsidRDefault="00D91E7E">
            <w:pPr>
              <w:spacing w:line="276" w:lineRule="auto"/>
              <w:jc w:val="both"/>
            </w:pPr>
            <w:r>
              <w:t xml:space="preserve">1. Pristatymo glaustumas,  nuoseklumas, išbaigtumas, informatyvumas (5-7 </w:t>
            </w:r>
            <w:proofErr w:type="spellStart"/>
            <w:r>
              <w:t>min</w:t>
            </w:r>
            <w:proofErr w:type="spellEnd"/>
            <w:r>
              <w:t>.).</w:t>
            </w:r>
          </w:p>
        </w:tc>
        <w:tc>
          <w:tcPr>
            <w:tcW w:w="1672" w:type="dxa"/>
          </w:tcPr>
          <w:p w:rsidR="005C5EFB" w:rsidRDefault="00D91E7E">
            <w:pPr>
              <w:spacing w:line="276" w:lineRule="auto"/>
              <w:jc w:val="both"/>
            </w:pPr>
            <w:r>
              <w:t>0-2 balai</w:t>
            </w:r>
          </w:p>
        </w:tc>
      </w:tr>
      <w:tr w:rsidR="005C5EFB">
        <w:tc>
          <w:tcPr>
            <w:tcW w:w="7792" w:type="dxa"/>
          </w:tcPr>
          <w:p w:rsidR="005C5EFB" w:rsidRDefault="00D91E7E">
            <w:pPr>
              <w:spacing w:line="276" w:lineRule="auto"/>
              <w:jc w:val="both"/>
            </w:pPr>
            <w:r>
              <w:t>2. Gebėjimas atsakyti į klausimus.</w:t>
            </w:r>
          </w:p>
        </w:tc>
        <w:tc>
          <w:tcPr>
            <w:tcW w:w="1672" w:type="dxa"/>
          </w:tcPr>
          <w:p w:rsidR="005C5EFB" w:rsidRDefault="00D91E7E">
            <w:pPr>
              <w:spacing w:line="276" w:lineRule="auto"/>
              <w:jc w:val="both"/>
            </w:pPr>
            <w:r>
              <w:t>0-2 balai</w:t>
            </w:r>
          </w:p>
        </w:tc>
      </w:tr>
      <w:tr w:rsidR="005C5EFB">
        <w:trPr>
          <w:trHeight w:val="420"/>
        </w:trPr>
        <w:tc>
          <w:tcPr>
            <w:tcW w:w="7792" w:type="dxa"/>
          </w:tcPr>
          <w:p w:rsidR="005C5EFB" w:rsidRDefault="00D91E7E">
            <w:pPr>
              <w:spacing w:line="276" w:lineRule="auto"/>
              <w:jc w:val="both"/>
            </w:pPr>
            <w:r>
              <w:t>3. Kalbos vartojimas (tartis, stilius, gramatika, rašyba, skyryba).</w:t>
            </w:r>
          </w:p>
        </w:tc>
        <w:tc>
          <w:tcPr>
            <w:tcW w:w="1672" w:type="dxa"/>
          </w:tcPr>
          <w:p w:rsidR="005C5EFB" w:rsidRDefault="00D91E7E">
            <w:pPr>
              <w:spacing w:line="276" w:lineRule="auto"/>
              <w:jc w:val="both"/>
            </w:pPr>
            <w:r>
              <w:t>0-2 balai</w:t>
            </w:r>
          </w:p>
        </w:tc>
      </w:tr>
      <w:tr w:rsidR="005C5EFB">
        <w:trPr>
          <w:trHeight w:val="1140"/>
        </w:trPr>
        <w:tc>
          <w:tcPr>
            <w:tcW w:w="7792" w:type="dxa"/>
          </w:tcPr>
          <w:p w:rsidR="005C5EFB" w:rsidRDefault="00D91E7E">
            <w:pPr>
              <w:widowControl/>
              <w:pBdr>
                <w:top w:val="nil"/>
                <w:left w:val="nil"/>
                <w:bottom w:val="nil"/>
                <w:right w:val="nil"/>
                <w:between w:val="nil"/>
              </w:pBdr>
              <w:jc w:val="both"/>
              <w:rPr>
                <w:color w:val="000000"/>
              </w:rPr>
            </w:pPr>
            <w:r>
              <w:rPr>
                <w:color w:val="000000"/>
              </w:rPr>
              <w:lastRenderedPageBreak/>
              <w:t>4. Vaizdinės informacijos kokybė, kiekybė ir efektyvumas (iliustracijų ir teksto santykis, iliustracijų kokybė, jų pasirinkimo tikslingumas, šaltinių nurodymas, fonas, šriftas, animacija, skaidrių skaičius, muzikinis fonas, filmuota medžiaga).</w:t>
            </w:r>
          </w:p>
        </w:tc>
        <w:tc>
          <w:tcPr>
            <w:tcW w:w="1672" w:type="dxa"/>
          </w:tcPr>
          <w:p w:rsidR="005C5EFB" w:rsidRDefault="00D91E7E">
            <w:pPr>
              <w:spacing w:line="276" w:lineRule="auto"/>
              <w:jc w:val="both"/>
            </w:pPr>
            <w:r>
              <w:t>0-2 balai</w:t>
            </w:r>
          </w:p>
        </w:tc>
      </w:tr>
      <w:tr w:rsidR="005C5EFB">
        <w:trPr>
          <w:trHeight w:val="380"/>
        </w:trPr>
        <w:tc>
          <w:tcPr>
            <w:tcW w:w="7792" w:type="dxa"/>
          </w:tcPr>
          <w:p w:rsidR="005C5EFB" w:rsidRDefault="00D91E7E">
            <w:pPr>
              <w:spacing w:line="276" w:lineRule="auto"/>
              <w:jc w:val="both"/>
            </w:pPr>
            <w:r>
              <w:t xml:space="preserve">5. Įsivertinimas (savo darbo, veiksmų įvertinimas, pasiūlymai tolimesniam tobulėjimui) </w:t>
            </w:r>
          </w:p>
        </w:tc>
        <w:tc>
          <w:tcPr>
            <w:tcW w:w="1672" w:type="dxa"/>
          </w:tcPr>
          <w:p w:rsidR="005C5EFB" w:rsidRDefault="00D91E7E">
            <w:pPr>
              <w:jc w:val="both"/>
            </w:pPr>
            <w:r>
              <w:t>0-2 balai</w:t>
            </w:r>
          </w:p>
        </w:tc>
      </w:tr>
      <w:tr w:rsidR="005C5EFB">
        <w:tc>
          <w:tcPr>
            <w:tcW w:w="7792" w:type="dxa"/>
          </w:tcPr>
          <w:p w:rsidR="005C5EFB" w:rsidRDefault="00D91E7E">
            <w:pPr>
              <w:pBdr>
                <w:top w:val="nil"/>
                <w:left w:val="nil"/>
                <w:bottom w:val="nil"/>
                <w:right w:val="nil"/>
                <w:between w:val="nil"/>
              </w:pBdr>
              <w:spacing w:line="276" w:lineRule="auto"/>
              <w:ind w:left="720" w:hanging="720"/>
              <w:jc w:val="right"/>
              <w:rPr>
                <w:b/>
                <w:color w:val="000000"/>
              </w:rPr>
            </w:pPr>
            <w:r>
              <w:rPr>
                <w:b/>
                <w:color w:val="000000"/>
              </w:rPr>
              <w:t>Galutinis įvertinimas</w:t>
            </w:r>
          </w:p>
        </w:tc>
        <w:tc>
          <w:tcPr>
            <w:tcW w:w="1672" w:type="dxa"/>
          </w:tcPr>
          <w:p w:rsidR="005C5EFB" w:rsidRDefault="00D91E7E">
            <w:pPr>
              <w:spacing w:line="276" w:lineRule="auto"/>
              <w:rPr>
                <w:b/>
                <w:color w:val="000000"/>
              </w:rPr>
            </w:pPr>
            <w:r>
              <w:rPr>
                <w:b/>
                <w:color w:val="000000"/>
              </w:rPr>
              <w:t>0 – 10 balų</w:t>
            </w:r>
          </w:p>
        </w:tc>
      </w:tr>
    </w:tbl>
    <w:p w:rsidR="005C5EFB" w:rsidRDefault="005C5EFB">
      <w:pPr>
        <w:widowControl/>
        <w:pBdr>
          <w:top w:val="nil"/>
          <w:left w:val="nil"/>
          <w:bottom w:val="nil"/>
          <w:right w:val="nil"/>
          <w:between w:val="nil"/>
        </w:pBdr>
        <w:rPr>
          <w:color w:val="000000"/>
        </w:rPr>
      </w:pPr>
    </w:p>
    <w:tbl>
      <w:tblPr>
        <w:tblStyle w:val="a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358"/>
      </w:tblGrid>
      <w:tr w:rsidR="005C5EFB">
        <w:tc>
          <w:tcPr>
            <w:tcW w:w="4106" w:type="dxa"/>
            <w:tcBorders>
              <w:top w:val="single" w:sz="4" w:space="0" w:color="000000"/>
              <w:left w:val="single" w:sz="4" w:space="0" w:color="000000"/>
              <w:bottom w:val="single" w:sz="4" w:space="0" w:color="000000"/>
              <w:right w:val="single" w:sz="4" w:space="0" w:color="000000"/>
            </w:tcBorders>
          </w:tcPr>
          <w:p w:rsidR="005C5EFB" w:rsidRDefault="005C5EFB">
            <w:pPr>
              <w:spacing w:line="276" w:lineRule="auto"/>
              <w:jc w:val="both"/>
              <w:rPr>
                <w:b/>
              </w:rPr>
            </w:pPr>
          </w:p>
        </w:tc>
        <w:tc>
          <w:tcPr>
            <w:tcW w:w="5358" w:type="dxa"/>
            <w:tcBorders>
              <w:top w:val="single" w:sz="4" w:space="0" w:color="000000"/>
              <w:left w:val="single" w:sz="4" w:space="0" w:color="000000"/>
              <w:bottom w:val="single" w:sz="4" w:space="0" w:color="000000"/>
              <w:right w:val="single" w:sz="4" w:space="0" w:color="000000"/>
            </w:tcBorders>
          </w:tcPr>
          <w:p w:rsidR="005C5EFB" w:rsidRDefault="00D91E7E">
            <w:pPr>
              <w:spacing w:line="276" w:lineRule="auto"/>
              <w:jc w:val="center"/>
            </w:pPr>
            <w:r>
              <w:t>Vertinimas</w:t>
            </w:r>
          </w:p>
        </w:tc>
      </w:tr>
      <w:tr w:rsidR="005C5EFB">
        <w:tc>
          <w:tcPr>
            <w:tcW w:w="4106" w:type="dxa"/>
            <w:tcBorders>
              <w:top w:val="single" w:sz="4" w:space="0" w:color="000000"/>
              <w:left w:val="single" w:sz="4" w:space="0" w:color="000000"/>
              <w:bottom w:val="single" w:sz="4" w:space="0" w:color="000000"/>
              <w:right w:val="single" w:sz="4" w:space="0" w:color="000000"/>
            </w:tcBorders>
          </w:tcPr>
          <w:p w:rsidR="005C5EFB" w:rsidRDefault="00D91E7E">
            <w:pPr>
              <w:spacing w:line="276" w:lineRule="auto"/>
              <w:jc w:val="both"/>
            </w:pPr>
            <w:r>
              <w:t>Projektinio darbo vertinimas</w:t>
            </w:r>
          </w:p>
        </w:tc>
        <w:tc>
          <w:tcPr>
            <w:tcW w:w="5358" w:type="dxa"/>
            <w:tcBorders>
              <w:top w:val="single" w:sz="4" w:space="0" w:color="000000"/>
              <w:left w:val="single" w:sz="4" w:space="0" w:color="000000"/>
              <w:bottom w:val="single" w:sz="4" w:space="0" w:color="000000"/>
              <w:right w:val="single" w:sz="4" w:space="0" w:color="000000"/>
            </w:tcBorders>
          </w:tcPr>
          <w:p w:rsidR="005C5EFB" w:rsidRDefault="00D91E7E">
            <w:pPr>
              <w:spacing w:line="276" w:lineRule="auto"/>
              <w:jc w:val="both"/>
            </w:pPr>
            <w:r>
              <w:t>0-10 balai</w:t>
            </w:r>
          </w:p>
        </w:tc>
      </w:tr>
      <w:tr w:rsidR="005C5EFB">
        <w:tc>
          <w:tcPr>
            <w:tcW w:w="4106" w:type="dxa"/>
            <w:tcBorders>
              <w:top w:val="single" w:sz="4" w:space="0" w:color="000000"/>
              <w:left w:val="single" w:sz="4" w:space="0" w:color="000000"/>
              <w:bottom w:val="single" w:sz="4" w:space="0" w:color="000000"/>
              <w:right w:val="single" w:sz="4" w:space="0" w:color="000000"/>
            </w:tcBorders>
          </w:tcPr>
          <w:p w:rsidR="005C5EFB" w:rsidRDefault="00D91E7E">
            <w:pPr>
              <w:spacing w:line="276" w:lineRule="auto"/>
              <w:jc w:val="both"/>
            </w:pPr>
            <w:r>
              <w:t>Pristatymo vertinimas</w:t>
            </w:r>
          </w:p>
        </w:tc>
        <w:tc>
          <w:tcPr>
            <w:tcW w:w="5358" w:type="dxa"/>
            <w:tcBorders>
              <w:top w:val="single" w:sz="4" w:space="0" w:color="000000"/>
              <w:left w:val="single" w:sz="4" w:space="0" w:color="000000"/>
              <w:bottom w:val="single" w:sz="4" w:space="0" w:color="000000"/>
              <w:right w:val="single" w:sz="4" w:space="0" w:color="000000"/>
            </w:tcBorders>
          </w:tcPr>
          <w:p w:rsidR="005C5EFB" w:rsidRDefault="00D91E7E">
            <w:pPr>
              <w:spacing w:line="276" w:lineRule="auto"/>
              <w:jc w:val="both"/>
            </w:pPr>
            <w:r>
              <w:t>0-10 balai</w:t>
            </w:r>
          </w:p>
        </w:tc>
      </w:tr>
      <w:tr w:rsidR="005C5EFB">
        <w:tc>
          <w:tcPr>
            <w:tcW w:w="4106" w:type="dxa"/>
            <w:tcBorders>
              <w:top w:val="single" w:sz="4" w:space="0" w:color="000000"/>
              <w:left w:val="single" w:sz="4" w:space="0" w:color="000000"/>
              <w:bottom w:val="single" w:sz="4" w:space="0" w:color="000000"/>
              <w:right w:val="single" w:sz="4" w:space="0" w:color="000000"/>
            </w:tcBorders>
          </w:tcPr>
          <w:p w:rsidR="005C5EFB" w:rsidRDefault="00D91E7E">
            <w:pPr>
              <w:spacing w:line="276" w:lineRule="auto"/>
              <w:jc w:val="right"/>
              <w:rPr>
                <w:b/>
              </w:rPr>
            </w:pPr>
            <w:r>
              <w:rPr>
                <w:b/>
              </w:rPr>
              <w:t>Galutinis įvertinimas:</w:t>
            </w:r>
          </w:p>
        </w:tc>
        <w:tc>
          <w:tcPr>
            <w:tcW w:w="5358" w:type="dxa"/>
            <w:tcBorders>
              <w:top w:val="single" w:sz="4" w:space="0" w:color="000000"/>
              <w:left w:val="single" w:sz="4" w:space="0" w:color="000000"/>
              <w:bottom w:val="single" w:sz="4" w:space="0" w:color="000000"/>
              <w:right w:val="single" w:sz="4" w:space="0" w:color="000000"/>
            </w:tcBorders>
          </w:tcPr>
          <w:p w:rsidR="005C5EFB" w:rsidRDefault="00D91E7E">
            <w:pPr>
              <w:spacing w:line="276" w:lineRule="auto"/>
              <w:jc w:val="both"/>
              <w:rPr>
                <w:b/>
              </w:rPr>
            </w:pPr>
            <w:r>
              <w:rPr>
                <w:b/>
              </w:rPr>
              <w:t xml:space="preserve">Balų vidurkis = pažymys </w:t>
            </w:r>
          </w:p>
        </w:tc>
      </w:tr>
    </w:tbl>
    <w:p w:rsidR="005C5EFB" w:rsidRDefault="005C5EFB">
      <w:pPr>
        <w:ind w:firstLine="720"/>
        <w:jc w:val="both"/>
      </w:pPr>
    </w:p>
    <w:p w:rsidR="005C5EFB" w:rsidRDefault="00D91E7E">
      <w:pPr>
        <w:ind w:firstLine="709"/>
        <w:jc w:val="both"/>
      </w:pPr>
      <w:bookmarkStart w:id="1" w:name="_gjdgxs" w:colFirst="0" w:colLast="0"/>
      <w:bookmarkEnd w:id="1"/>
      <w:r>
        <w:t>23.2. Integruotą  projektą  (pagal pateiktus kriterijus)  vertina atskirų dalykų mokytojai;</w:t>
      </w:r>
    </w:p>
    <w:p w:rsidR="005C5EFB" w:rsidRDefault="00D91E7E">
      <w:pPr>
        <w:ind w:firstLine="720"/>
        <w:jc w:val="both"/>
        <w:rPr>
          <w:color w:val="000000"/>
        </w:rPr>
      </w:pPr>
      <w:r>
        <w:t xml:space="preserve">23.3. </w:t>
      </w:r>
      <w:r>
        <w:rPr>
          <w:color w:val="000000"/>
        </w:rPr>
        <w:t>Jei mokinys nesimoko dalyko, iš kurio rašo projektą, įvertinimas mokytojų susitarimu įrašomas į giminingą dalyką.</w:t>
      </w:r>
    </w:p>
    <w:p w:rsidR="005C5EFB" w:rsidRDefault="00D91E7E">
      <w:pPr>
        <w:ind w:firstLine="720"/>
        <w:jc w:val="both"/>
        <w:rPr>
          <w:color w:val="000000"/>
        </w:rPr>
      </w:pPr>
      <w:r>
        <w:t>24. Ugdymo procese vyrauja mokytis padedantis vertinimas – formuojamasis vertinimas, kuris rodo, ką konkrečiai mokiniai geba, yra pasiekę ir ko dar turi pasiekti ar tobulinti, mokiniai mokomi vertinti kitus ir patys įsivertinti. Todėl planuojant pamoką ar neformaliojo ugdymo užsiėmimą didelis dėmesys turi būti skiriamas pamokos/užsiėmimo refleksijai, mokinių įsivertinimui.</w:t>
      </w:r>
    </w:p>
    <w:p w:rsidR="005C5EFB" w:rsidRDefault="00D91E7E">
      <w:pPr>
        <w:ind w:firstLine="709"/>
        <w:jc w:val="both"/>
      </w:pPr>
      <w:r>
        <w:t>25. Kaupiamąjį pažymį rekomenduojama rašyti už šias veiklas:</w:t>
      </w:r>
    </w:p>
    <w:p w:rsidR="005C5EFB" w:rsidRDefault="00D91E7E">
      <w:pPr>
        <w:ind w:firstLine="709"/>
        <w:jc w:val="both"/>
      </w:pPr>
      <w:r>
        <w:t xml:space="preserve">25.1. darbą pamokoje (savarankišką darbą raštu ar žodžiu, darbą grupėje, individualias mokinio pastangas, aktyvumą ir </w:t>
      </w:r>
      <w:proofErr w:type="spellStart"/>
      <w:r>
        <w:t>kt</w:t>
      </w:r>
      <w:proofErr w:type="spellEnd"/>
      <w:r>
        <w:t>.);</w:t>
      </w:r>
    </w:p>
    <w:p w:rsidR="005C5EFB" w:rsidRDefault="00D91E7E">
      <w:pPr>
        <w:ind w:firstLine="709"/>
        <w:jc w:val="both"/>
      </w:pPr>
      <w:r>
        <w:t>25.2. namų darbus;</w:t>
      </w:r>
    </w:p>
    <w:p w:rsidR="005C5EFB" w:rsidRDefault="00D91E7E">
      <w:pPr>
        <w:ind w:firstLine="709"/>
        <w:jc w:val="both"/>
      </w:pPr>
      <w:r>
        <w:t>25.3. trumpalaikį projektinį darbą;</w:t>
      </w:r>
    </w:p>
    <w:p w:rsidR="005C5EFB" w:rsidRDefault="00D91E7E">
      <w:pPr>
        <w:ind w:firstLine="708"/>
        <w:jc w:val="both"/>
      </w:pPr>
      <w:r>
        <w:t xml:space="preserve">25.4.aktyvų dalyvavimą gimnazijos, miesto renginiuose, akcijose, atstovavimą gimnazijai mieste, respublikoje ir </w:t>
      </w:r>
      <w:proofErr w:type="spellStart"/>
      <w:r>
        <w:t>kt</w:t>
      </w:r>
      <w:proofErr w:type="spellEnd"/>
      <w:r>
        <w:t>.;</w:t>
      </w:r>
    </w:p>
    <w:p w:rsidR="005C5EFB" w:rsidRDefault="00D91E7E">
      <w:pPr>
        <w:ind w:firstLine="709"/>
        <w:jc w:val="both"/>
      </w:pPr>
      <w:r>
        <w:t xml:space="preserve">25.5. savarankišką mokinio veiklą, dalyvaujant neformaliojo švietimo programose ir </w:t>
      </w:r>
      <w:proofErr w:type="spellStart"/>
      <w:r>
        <w:t>kt</w:t>
      </w:r>
      <w:proofErr w:type="spellEnd"/>
      <w:r>
        <w:t>.</w:t>
      </w:r>
    </w:p>
    <w:p w:rsidR="005C5EFB" w:rsidRDefault="00D91E7E">
      <w:pPr>
        <w:ind w:firstLine="709"/>
        <w:jc w:val="both"/>
      </w:pPr>
      <w:r>
        <w:t xml:space="preserve">26. Per pusmetį </w:t>
      </w:r>
      <w:r w:rsidR="00795A45">
        <w:t xml:space="preserve">rekomenduojama </w:t>
      </w:r>
      <w:r>
        <w:t>parašyti ne mažiau kaip vieną kaupiamąjį pažymį.</w:t>
      </w:r>
    </w:p>
    <w:p w:rsidR="005C5EFB" w:rsidRDefault="005C5EFB" w:rsidP="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C5EFB" w:rsidRDefault="00D91E7E" w:rsidP="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INFORMAVIMAS</w:t>
      </w:r>
    </w:p>
    <w:p w:rsidR="00763EE0" w:rsidRDefault="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b/>
        </w:rPr>
      </w:pPr>
    </w:p>
    <w:p w:rsidR="005C5EFB" w:rsidRDefault="00D91E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pPr>
      <w:r>
        <w:t xml:space="preserve">27.  Mokinių  pažangos  ir  pasiekimų  vertinimo  tvarkos  aprašas  skelbiamas  gimnazijos interneto svetainėje </w:t>
      </w:r>
      <w:hyperlink r:id="rId7">
        <w:r>
          <w:rPr>
            <w:color w:val="0000FF"/>
            <w:u w:val="single"/>
          </w:rPr>
          <w:t>https://www.gimnazija.svencioneliai.lm.lt</w:t>
        </w:r>
      </w:hyperlink>
      <w:r>
        <w:t xml:space="preserve"> </w:t>
      </w:r>
    </w:p>
    <w:p w:rsidR="005C5EFB" w:rsidRDefault="00D91E7E" w:rsidP="00763EE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w:t>
      </w:r>
    </w:p>
    <w:sectPr w:rsidR="005C5EFB" w:rsidSect="00763EE0">
      <w:headerReference w:type="default" r:id="rId8"/>
      <w:pgSz w:w="11906" w:h="16838"/>
      <w:pgMar w:top="851" w:right="851"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BD" w:rsidRDefault="006535BD">
      <w:r>
        <w:separator/>
      </w:r>
    </w:p>
  </w:endnote>
  <w:endnote w:type="continuationSeparator" w:id="0">
    <w:p w:rsidR="006535BD" w:rsidRDefault="0065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BD" w:rsidRDefault="006535BD">
      <w:r>
        <w:separator/>
      </w:r>
    </w:p>
  </w:footnote>
  <w:footnote w:type="continuationSeparator" w:id="0">
    <w:p w:rsidR="006535BD" w:rsidRDefault="0065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FB" w:rsidRDefault="00D91E7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0B2F15">
      <w:rPr>
        <w:noProof/>
        <w:color w:val="000000"/>
      </w:rPr>
      <w:t>7</w:t>
    </w:r>
    <w:r>
      <w:rPr>
        <w:color w:val="000000"/>
      </w:rPr>
      <w:fldChar w:fldCharType="end"/>
    </w:r>
  </w:p>
  <w:p w:rsidR="005C5EFB" w:rsidRDefault="005C5EFB">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5C5EFB"/>
    <w:rsid w:val="000B2F15"/>
    <w:rsid w:val="005C5EFB"/>
    <w:rsid w:val="00626E2D"/>
    <w:rsid w:val="006535BD"/>
    <w:rsid w:val="00727C44"/>
    <w:rsid w:val="00763EE0"/>
    <w:rsid w:val="00795A45"/>
    <w:rsid w:val="007D092B"/>
    <w:rsid w:val="008819AC"/>
    <w:rsid w:val="00C7020F"/>
    <w:rsid w:val="00D91E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Ind w:w="0" w:type="dxa"/>
      <w:tblCellMar>
        <w:top w:w="0" w:type="dxa"/>
        <w:left w:w="108" w:type="dxa"/>
        <w:bottom w:w="0" w:type="dxa"/>
        <w:right w:w="108" w:type="dxa"/>
      </w:tblCellMar>
    </w:tblPr>
  </w:style>
  <w:style w:type="table" w:customStyle="1" w:styleId="a0">
    <w:basedOn w:val="prastojilentel"/>
    <w:tblPr>
      <w:tblStyleRowBandSize w:val="1"/>
      <w:tblStyleColBandSize w:val="1"/>
      <w:tblInd w:w="0" w:type="dxa"/>
      <w:tblCellMar>
        <w:top w:w="0" w:type="dxa"/>
        <w:left w:w="115" w:type="dxa"/>
        <w:bottom w:w="0" w:type="dxa"/>
        <w:right w:w="115" w:type="dxa"/>
      </w:tblCellMar>
    </w:tblPr>
  </w:style>
  <w:style w:type="table" w:customStyle="1" w:styleId="a1">
    <w:basedOn w:val="prastojilentel"/>
    <w:tblPr>
      <w:tblStyleRowBandSize w:val="1"/>
      <w:tblStyleColBandSize w:val="1"/>
      <w:tblInd w:w="0" w:type="dxa"/>
      <w:tblCellMar>
        <w:top w:w="0" w:type="dxa"/>
        <w:left w:w="115" w:type="dxa"/>
        <w:bottom w:w="0" w:type="dxa"/>
        <w:right w:w="115" w:type="dxa"/>
      </w:tblCellMar>
    </w:tblPr>
  </w:style>
  <w:style w:type="table" w:customStyle="1" w:styleId="a2">
    <w:basedOn w:val="prastojilentel"/>
    <w:tblPr>
      <w:tblStyleRowBandSize w:val="1"/>
      <w:tblStyleColBandSize w:val="1"/>
      <w:tblInd w:w="0" w:type="dxa"/>
      <w:tblCellMar>
        <w:top w:w="0" w:type="dxa"/>
        <w:left w:w="115" w:type="dxa"/>
        <w:bottom w:w="0" w:type="dxa"/>
        <w:right w:w="115" w:type="dxa"/>
      </w:tblCellMar>
    </w:tblPr>
  </w:style>
  <w:style w:type="table" w:customStyle="1" w:styleId="a3">
    <w:basedOn w:val="prastojilentel"/>
    <w:tblPr>
      <w:tblStyleRowBandSize w:val="1"/>
      <w:tblStyleColBandSize w:val="1"/>
      <w:tblInd w:w="0" w:type="dxa"/>
      <w:tblCellMar>
        <w:top w:w="0" w:type="dxa"/>
        <w:left w:w="115" w:type="dxa"/>
        <w:bottom w:w="0" w:type="dxa"/>
        <w:right w:w="115" w:type="dxa"/>
      </w:tblCellMar>
    </w:tblPr>
  </w:style>
  <w:style w:type="table" w:customStyle="1" w:styleId="a4">
    <w:basedOn w:val="prastojilentel"/>
    <w:tblPr>
      <w:tblStyleRowBandSize w:val="1"/>
      <w:tblStyleColBandSize w:val="1"/>
      <w:tblInd w:w="0" w:type="dxa"/>
      <w:tblCellMar>
        <w:top w:w="0" w:type="dxa"/>
        <w:left w:w="108" w:type="dxa"/>
        <w:bottom w:w="0" w:type="dxa"/>
        <w:right w:w="108" w:type="dxa"/>
      </w:tblCellMar>
    </w:tblPr>
  </w:style>
  <w:style w:type="table" w:customStyle="1" w:styleId="a5">
    <w:basedOn w:val="prastojilentel"/>
    <w:tblPr>
      <w:tblStyleRowBandSize w:val="1"/>
      <w:tblStyleColBandSize w:val="1"/>
      <w:tblInd w:w="0" w:type="dxa"/>
      <w:tblCellMar>
        <w:top w:w="0" w:type="dxa"/>
        <w:left w:w="108" w:type="dxa"/>
        <w:bottom w:w="0" w:type="dxa"/>
        <w:right w:w="108" w:type="dxa"/>
      </w:tblCellMar>
    </w:tblPr>
  </w:style>
  <w:style w:type="table" w:customStyle="1" w:styleId="a6">
    <w:basedOn w:val="prastojilentel"/>
    <w:tblPr>
      <w:tblStyleRowBandSize w:val="1"/>
      <w:tblStyleColBandSize w:val="1"/>
      <w:tblInd w:w="0" w:type="dxa"/>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63E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Ind w:w="0" w:type="dxa"/>
      <w:tblCellMar>
        <w:top w:w="0" w:type="dxa"/>
        <w:left w:w="108" w:type="dxa"/>
        <w:bottom w:w="0" w:type="dxa"/>
        <w:right w:w="108" w:type="dxa"/>
      </w:tblCellMar>
    </w:tblPr>
  </w:style>
  <w:style w:type="table" w:customStyle="1" w:styleId="a0">
    <w:basedOn w:val="prastojilentel"/>
    <w:tblPr>
      <w:tblStyleRowBandSize w:val="1"/>
      <w:tblStyleColBandSize w:val="1"/>
      <w:tblInd w:w="0" w:type="dxa"/>
      <w:tblCellMar>
        <w:top w:w="0" w:type="dxa"/>
        <w:left w:w="115" w:type="dxa"/>
        <w:bottom w:w="0" w:type="dxa"/>
        <w:right w:w="115" w:type="dxa"/>
      </w:tblCellMar>
    </w:tblPr>
  </w:style>
  <w:style w:type="table" w:customStyle="1" w:styleId="a1">
    <w:basedOn w:val="prastojilentel"/>
    <w:tblPr>
      <w:tblStyleRowBandSize w:val="1"/>
      <w:tblStyleColBandSize w:val="1"/>
      <w:tblInd w:w="0" w:type="dxa"/>
      <w:tblCellMar>
        <w:top w:w="0" w:type="dxa"/>
        <w:left w:w="115" w:type="dxa"/>
        <w:bottom w:w="0" w:type="dxa"/>
        <w:right w:w="115" w:type="dxa"/>
      </w:tblCellMar>
    </w:tblPr>
  </w:style>
  <w:style w:type="table" w:customStyle="1" w:styleId="a2">
    <w:basedOn w:val="prastojilentel"/>
    <w:tblPr>
      <w:tblStyleRowBandSize w:val="1"/>
      <w:tblStyleColBandSize w:val="1"/>
      <w:tblInd w:w="0" w:type="dxa"/>
      <w:tblCellMar>
        <w:top w:w="0" w:type="dxa"/>
        <w:left w:w="115" w:type="dxa"/>
        <w:bottom w:w="0" w:type="dxa"/>
        <w:right w:w="115" w:type="dxa"/>
      </w:tblCellMar>
    </w:tblPr>
  </w:style>
  <w:style w:type="table" w:customStyle="1" w:styleId="a3">
    <w:basedOn w:val="prastojilentel"/>
    <w:tblPr>
      <w:tblStyleRowBandSize w:val="1"/>
      <w:tblStyleColBandSize w:val="1"/>
      <w:tblInd w:w="0" w:type="dxa"/>
      <w:tblCellMar>
        <w:top w:w="0" w:type="dxa"/>
        <w:left w:w="115" w:type="dxa"/>
        <w:bottom w:w="0" w:type="dxa"/>
        <w:right w:w="115" w:type="dxa"/>
      </w:tblCellMar>
    </w:tblPr>
  </w:style>
  <w:style w:type="table" w:customStyle="1" w:styleId="a4">
    <w:basedOn w:val="prastojilentel"/>
    <w:tblPr>
      <w:tblStyleRowBandSize w:val="1"/>
      <w:tblStyleColBandSize w:val="1"/>
      <w:tblInd w:w="0" w:type="dxa"/>
      <w:tblCellMar>
        <w:top w:w="0" w:type="dxa"/>
        <w:left w:w="108" w:type="dxa"/>
        <w:bottom w:w="0" w:type="dxa"/>
        <w:right w:w="108" w:type="dxa"/>
      </w:tblCellMar>
    </w:tblPr>
  </w:style>
  <w:style w:type="table" w:customStyle="1" w:styleId="a5">
    <w:basedOn w:val="prastojilentel"/>
    <w:tblPr>
      <w:tblStyleRowBandSize w:val="1"/>
      <w:tblStyleColBandSize w:val="1"/>
      <w:tblInd w:w="0" w:type="dxa"/>
      <w:tblCellMar>
        <w:top w:w="0" w:type="dxa"/>
        <w:left w:w="108" w:type="dxa"/>
        <w:bottom w:w="0" w:type="dxa"/>
        <w:right w:w="108" w:type="dxa"/>
      </w:tblCellMar>
    </w:tblPr>
  </w:style>
  <w:style w:type="table" w:customStyle="1" w:styleId="a6">
    <w:basedOn w:val="prastojilentel"/>
    <w:tblPr>
      <w:tblStyleRowBandSize w:val="1"/>
      <w:tblStyleColBandSize w:val="1"/>
      <w:tblInd w:w="0" w:type="dxa"/>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763E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63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mnazija.svencioneliai.lm.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12575</Words>
  <Characters>7169</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Galia</dc:creator>
  <cp:lastModifiedBy>Daile-6</cp:lastModifiedBy>
  <cp:revision>4</cp:revision>
  <cp:lastPrinted>2019-10-16T07:33:00Z</cp:lastPrinted>
  <dcterms:created xsi:type="dcterms:W3CDTF">2019-10-16T07:23:00Z</dcterms:created>
  <dcterms:modified xsi:type="dcterms:W3CDTF">2019-10-16T07:33:00Z</dcterms:modified>
</cp:coreProperties>
</file>